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3C7" w:rsidRDefault="004613C7" w:rsidP="004C6C2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4C6C2F" w:rsidRDefault="004C6C2F" w:rsidP="004C6C2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4C6C2F" w:rsidRDefault="004C6C2F" w:rsidP="004C6C2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4C6C2F" w:rsidRDefault="004C6C2F" w:rsidP="004C6C2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4C6C2F" w:rsidRDefault="004C6C2F" w:rsidP="004C6C2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4C6C2F" w:rsidRDefault="004C6C2F" w:rsidP="004C6C2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4C6C2F" w:rsidRDefault="004C6C2F" w:rsidP="004C6C2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0669A" w:rsidRPr="004613C7" w:rsidRDefault="003D1FA1" w:rsidP="004C6C2F">
      <w:pPr>
        <w:spacing w:line="360" w:lineRule="auto"/>
        <w:jc w:val="center"/>
        <w:rPr>
          <w:rFonts w:ascii="Arial" w:hAnsi="Arial" w:cs="Arial"/>
          <w:sz w:val="48"/>
          <w:szCs w:val="48"/>
        </w:rPr>
      </w:pPr>
      <w:r w:rsidRPr="004613C7">
        <w:rPr>
          <w:rFonts w:ascii="Arial" w:hAnsi="Arial" w:cs="Arial"/>
          <w:sz w:val="48"/>
          <w:szCs w:val="48"/>
        </w:rPr>
        <w:t>Komunikacijska strategija</w:t>
      </w:r>
    </w:p>
    <w:p w:rsidR="003D1FA1" w:rsidRPr="004613C7" w:rsidRDefault="003D1FA1" w:rsidP="004C6C2F">
      <w:pPr>
        <w:spacing w:line="360" w:lineRule="auto"/>
        <w:jc w:val="center"/>
        <w:rPr>
          <w:rFonts w:ascii="Arial" w:hAnsi="Arial" w:cs="Arial"/>
          <w:sz w:val="48"/>
          <w:szCs w:val="48"/>
        </w:rPr>
      </w:pPr>
      <w:r w:rsidRPr="004613C7">
        <w:rPr>
          <w:rFonts w:ascii="Arial" w:hAnsi="Arial" w:cs="Arial"/>
          <w:sz w:val="48"/>
          <w:szCs w:val="48"/>
        </w:rPr>
        <w:t>Suda Bosne i Hercegovine</w:t>
      </w:r>
    </w:p>
    <w:p w:rsidR="003D1FA1" w:rsidRPr="004613C7" w:rsidRDefault="00C509EA" w:rsidP="004C6C2F">
      <w:pPr>
        <w:spacing w:line="360" w:lineRule="auto"/>
        <w:jc w:val="center"/>
        <w:rPr>
          <w:rFonts w:ascii="Arial" w:hAnsi="Arial" w:cs="Arial"/>
          <w:sz w:val="48"/>
          <w:szCs w:val="48"/>
        </w:rPr>
      </w:pPr>
      <w:r w:rsidRPr="004613C7">
        <w:rPr>
          <w:rFonts w:ascii="Arial" w:hAnsi="Arial" w:cs="Arial"/>
          <w:sz w:val="48"/>
          <w:szCs w:val="48"/>
        </w:rPr>
        <w:t>2024.</w:t>
      </w:r>
      <w:r w:rsidR="00775E8C">
        <w:rPr>
          <w:rFonts w:ascii="Arial" w:hAnsi="Arial" w:cs="Arial"/>
          <w:sz w:val="48"/>
          <w:szCs w:val="48"/>
        </w:rPr>
        <w:t>–</w:t>
      </w:r>
      <w:r w:rsidRPr="004613C7">
        <w:rPr>
          <w:rFonts w:ascii="Arial" w:hAnsi="Arial" w:cs="Arial"/>
          <w:sz w:val="48"/>
          <w:szCs w:val="48"/>
        </w:rPr>
        <w:t>202</w:t>
      </w:r>
      <w:r w:rsidR="004D55D0">
        <w:rPr>
          <w:rFonts w:ascii="Arial" w:hAnsi="Arial" w:cs="Arial"/>
          <w:sz w:val="48"/>
          <w:szCs w:val="48"/>
        </w:rPr>
        <w:t>5</w:t>
      </w:r>
      <w:r w:rsidR="003D1FA1" w:rsidRPr="004613C7">
        <w:rPr>
          <w:rFonts w:ascii="Arial" w:hAnsi="Arial" w:cs="Arial"/>
          <w:sz w:val="48"/>
          <w:szCs w:val="48"/>
        </w:rPr>
        <w:t>.</w:t>
      </w:r>
    </w:p>
    <w:p w:rsidR="004613C7" w:rsidRDefault="004613C7" w:rsidP="004C6C2F">
      <w:pPr>
        <w:spacing w:line="360" w:lineRule="auto"/>
        <w:jc w:val="both"/>
        <w:rPr>
          <w:rFonts w:ascii="Arial" w:hAnsi="Arial" w:cs="Arial"/>
          <w:sz w:val="44"/>
          <w:szCs w:val="44"/>
        </w:rPr>
      </w:pPr>
    </w:p>
    <w:p w:rsidR="004613C7" w:rsidRDefault="004613C7" w:rsidP="004C6C2F">
      <w:pPr>
        <w:spacing w:line="360" w:lineRule="auto"/>
        <w:jc w:val="both"/>
        <w:rPr>
          <w:rFonts w:ascii="Arial" w:hAnsi="Arial" w:cs="Arial"/>
          <w:sz w:val="44"/>
          <w:szCs w:val="44"/>
        </w:rPr>
      </w:pPr>
    </w:p>
    <w:p w:rsidR="004613C7" w:rsidRDefault="004613C7" w:rsidP="004C6C2F">
      <w:pPr>
        <w:spacing w:line="360" w:lineRule="auto"/>
        <w:jc w:val="both"/>
        <w:rPr>
          <w:rFonts w:ascii="Arial" w:hAnsi="Arial" w:cs="Arial"/>
          <w:sz w:val="44"/>
          <w:szCs w:val="44"/>
        </w:rPr>
      </w:pPr>
    </w:p>
    <w:p w:rsidR="003D1FA1" w:rsidRDefault="003D1FA1" w:rsidP="004C6C2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4C6C2F" w:rsidRDefault="004C6C2F" w:rsidP="004C6C2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4C6C2F" w:rsidRDefault="004C6C2F" w:rsidP="004C6C2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4C6C2F" w:rsidRDefault="004C6C2F" w:rsidP="004C6C2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4C6C2F" w:rsidRDefault="004C6C2F" w:rsidP="004C6C2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4C6C2F" w:rsidRPr="00C509EA" w:rsidRDefault="004C6C2F" w:rsidP="004C6C2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sdt>
      <w:sdtPr>
        <w:rPr>
          <w:rFonts w:eastAsiaTheme="minorEastAsia"/>
          <w:b w:val="0"/>
          <w:noProof/>
          <w:color w:val="000000" w:themeColor="text1"/>
          <w:sz w:val="22"/>
          <w:szCs w:val="22"/>
        </w:rPr>
        <w:id w:val="1485357831"/>
        <w:docPartObj>
          <w:docPartGallery w:val="Table of Contents"/>
          <w:docPartUnique/>
        </w:docPartObj>
      </w:sdtPr>
      <w:sdtEndPr>
        <w:rPr>
          <w:bCs/>
        </w:rPr>
      </w:sdtEndPr>
      <w:sdtContent>
        <w:p w:rsidR="003D1FA1" w:rsidRPr="004C6C2F" w:rsidRDefault="004C6C2F" w:rsidP="004C6C2F">
          <w:pPr>
            <w:pStyle w:val="TOCHeading"/>
            <w:spacing w:line="360" w:lineRule="auto"/>
          </w:pPr>
          <w:r w:rsidRPr="004C6C2F">
            <w:t>SADRŽAJ</w:t>
          </w:r>
        </w:p>
        <w:p w:rsidR="001C7E3F" w:rsidRDefault="003D1FA1">
          <w:pPr>
            <w:pStyle w:val="TOC1"/>
            <w:tabs>
              <w:tab w:val="left" w:pos="440"/>
            </w:tabs>
            <w:rPr>
              <w:rFonts w:asciiTheme="minorHAnsi" w:hAnsiTheme="minorHAnsi" w:cstheme="minorBidi"/>
              <w:color w:val="auto"/>
            </w:rPr>
          </w:pPr>
          <w:r w:rsidRPr="00624A2C">
            <w:rPr>
              <w:sz w:val="24"/>
              <w:szCs w:val="24"/>
            </w:rPr>
            <w:fldChar w:fldCharType="begin"/>
          </w:r>
          <w:r w:rsidRPr="00624A2C">
            <w:rPr>
              <w:sz w:val="24"/>
              <w:szCs w:val="24"/>
            </w:rPr>
            <w:instrText xml:space="preserve"> TOC \o "1-3" \h \z \u </w:instrText>
          </w:r>
          <w:r w:rsidRPr="00624A2C">
            <w:rPr>
              <w:sz w:val="24"/>
              <w:szCs w:val="24"/>
            </w:rPr>
            <w:fldChar w:fldCharType="separate"/>
          </w:r>
          <w:hyperlink w:anchor="_Toc154667795" w:history="1">
            <w:r w:rsidR="001C7E3F" w:rsidRPr="00EE0900">
              <w:rPr>
                <w:rStyle w:val="Hyperlink"/>
              </w:rPr>
              <w:t>1.</w:t>
            </w:r>
            <w:r w:rsidR="001C7E3F">
              <w:rPr>
                <w:rFonts w:asciiTheme="minorHAnsi" w:hAnsiTheme="minorHAnsi" w:cstheme="minorBidi"/>
                <w:color w:val="auto"/>
              </w:rPr>
              <w:tab/>
            </w:r>
            <w:r w:rsidR="001C7E3F" w:rsidRPr="00EE0900">
              <w:rPr>
                <w:rStyle w:val="Hyperlink"/>
              </w:rPr>
              <w:t>UVOD</w:t>
            </w:r>
            <w:r w:rsidR="001C7E3F">
              <w:rPr>
                <w:webHidden/>
              </w:rPr>
              <w:tab/>
            </w:r>
            <w:r w:rsidR="001C7E3F">
              <w:rPr>
                <w:webHidden/>
              </w:rPr>
              <w:fldChar w:fldCharType="begin"/>
            </w:r>
            <w:r w:rsidR="001C7E3F">
              <w:rPr>
                <w:webHidden/>
              </w:rPr>
              <w:instrText xml:space="preserve"> PAGEREF _Toc154667795 \h </w:instrText>
            </w:r>
            <w:r w:rsidR="001C7E3F">
              <w:rPr>
                <w:webHidden/>
              </w:rPr>
            </w:r>
            <w:r w:rsidR="001C7E3F">
              <w:rPr>
                <w:webHidden/>
              </w:rPr>
              <w:fldChar w:fldCharType="separate"/>
            </w:r>
            <w:r w:rsidR="008768B2">
              <w:rPr>
                <w:webHidden/>
              </w:rPr>
              <w:t>3</w:t>
            </w:r>
            <w:r w:rsidR="001C7E3F">
              <w:rPr>
                <w:webHidden/>
              </w:rPr>
              <w:fldChar w:fldCharType="end"/>
            </w:r>
          </w:hyperlink>
        </w:p>
        <w:p w:rsidR="001C7E3F" w:rsidRDefault="008F18B8">
          <w:pPr>
            <w:pStyle w:val="TOC1"/>
            <w:tabs>
              <w:tab w:val="left" w:pos="440"/>
            </w:tabs>
          </w:pPr>
          <w:hyperlink w:anchor="_Toc154667796" w:history="1">
            <w:r w:rsidR="001C7E3F" w:rsidRPr="00EE0900">
              <w:rPr>
                <w:rStyle w:val="Hyperlink"/>
              </w:rPr>
              <w:t>2.</w:t>
            </w:r>
            <w:r w:rsidR="001C7E3F">
              <w:rPr>
                <w:rFonts w:asciiTheme="minorHAnsi" w:hAnsiTheme="minorHAnsi" w:cstheme="minorBidi"/>
                <w:color w:val="auto"/>
              </w:rPr>
              <w:tab/>
            </w:r>
            <w:r w:rsidR="001C7E3F" w:rsidRPr="00EE0900">
              <w:rPr>
                <w:rStyle w:val="Hyperlink"/>
              </w:rPr>
              <w:t>PRAVNI OKVIR</w:t>
            </w:r>
            <w:r w:rsidR="001C7E3F">
              <w:rPr>
                <w:webHidden/>
              </w:rPr>
              <w:tab/>
            </w:r>
            <w:r w:rsidR="001C7E3F">
              <w:rPr>
                <w:webHidden/>
              </w:rPr>
              <w:fldChar w:fldCharType="begin"/>
            </w:r>
            <w:r w:rsidR="001C7E3F">
              <w:rPr>
                <w:webHidden/>
              </w:rPr>
              <w:instrText xml:space="preserve"> PAGEREF _Toc154667796 \h </w:instrText>
            </w:r>
            <w:r w:rsidR="001C7E3F">
              <w:rPr>
                <w:webHidden/>
              </w:rPr>
            </w:r>
            <w:r w:rsidR="001C7E3F">
              <w:rPr>
                <w:webHidden/>
              </w:rPr>
              <w:fldChar w:fldCharType="separate"/>
            </w:r>
            <w:r w:rsidR="008768B2">
              <w:rPr>
                <w:webHidden/>
              </w:rPr>
              <w:t>4</w:t>
            </w:r>
            <w:r w:rsidR="001C7E3F">
              <w:rPr>
                <w:webHidden/>
              </w:rPr>
              <w:fldChar w:fldCharType="end"/>
            </w:r>
          </w:hyperlink>
        </w:p>
        <w:p w:rsidR="008768B2" w:rsidRPr="008768B2" w:rsidRDefault="008768B2" w:rsidP="008768B2">
          <w:pPr>
            <w:rPr>
              <w:rFonts w:ascii="Arial" w:hAnsi="Arial" w:cs="Arial"/>
              <w:lang w:val="en-US"/>
            </w:rPr>
          </w:pPr>
          <w:r w:rsidRPr="008768B2">
            <w:rPr>
              <w:rFonts w:ascii="Arial" w:hAnsi="Arial" w:cs="Arial"/>
              <w:lang w:val="en-US"/>
            </w:rPr>
            <w:t xml:space="preserve">3. </w:t>
          </w:r>
          <w:r w:rsidR="004A3CE8">
            <w:rPr>
              <w:rFonts w:ascii="Arial" w:hAnsi="Arial" w:cs="Arial"/>
              <w:lang w:val="en-US"/>
            </w:rPr>
            <w:t xml:space="preserve">   </w:t>
          </w:r>
          <w:r>
            <w:rPr>
              <w:rFonts w:ascii="Arial" w:hAnsi="Arial" w:cs="Arial"/>
              <w:lang w:val="en-US"/>
            </w:rPr>
            <w:t xml:space="preserve">TRENUTNO STANJE U DOMENU </w:t>
          </w:r>
          <w:r w:rsidRPr="008768B2">
            <w:rPr>
              <w:rFonts w:ascii="Arial" w:hAnsi="Arial" w:cs="Arial"/>
              <w:lang w:val="en-US"/>
            </w:rPr>
            <w:t>TRANSPARENTNOSTI…</w:t>
          </w:r>
          <w:r>
            <w:rPr>
              <w:rFonts w:ascii="Arial" w:hAnsi="Arial" w:cs="Arial"/>
              <w:lang w:val="en-US"/>
            </w:rPr>
            <w:t>…………</w:t>
          </w:r>
          <w:r w:rsidR="00EE5886">
            <w:rPr>
              <w:rFonts w:ascii="Arial" w:hAnsi="Arial" w:cs="Arial"/>
              <w:lang w:val="en-US"/>
            </w:rPr>
            <w:t>.</w:t>
          </w:r>
          <w:r>
            <w:rPr>
              <w:rFonts w:ascii="Arial" w:hAnsi="Arial" w:cs="Arial"/>
              <w:lang w:val="en-US"/>
            </w:rPr>
            <w:t xml:space="preserve">……………… </w:t>
          </w:r>
          <w:r w:rsidR="004A3CE8">
            <w:rPr>
              <w:rFonts w:ascii="Arial" w:hAnsi="Arial" w:cs="Arial"/>
              <w:lang w:val="en-US"/>
            </w:rPr>
            <w:t>.......</w:t>
          </w:r>
          <w:r w:rsidRPr="008768B2">
            <w:rPr>
              <w:rFonts w:ascii="Arial" w:hAnsi="Arial" w:cs="Arial"/>
              <w:lang w:val="en-US"/>
            </w:rPr>
            <w:t>.5</w:t>
          </w:r>
        </w:p>
        <w:p w:rsidR="001C7E3F" w:rsidRDefault="008F18B8">
          <w:pPr>
            <w:pStyle w:val="TOC1"/>
            <w:tabs>
              <w:tab w:val="left" w:pos="440"/>
            </w:tabs>
            <w:rPr>
              <w:rFonts w:asciiTheme="minorHAnsi" w:hAnsiTheme="minorHAnsi" w:cstheme="minorBidi"/>
              <w:color w:val="auto"/>
            </w:rPr>
          </w:pPr>
          <w:hyperlink w:anchor="_Toc154667797" w:history="1">
            <w:r w:rsidR="001C7E3F" w:rsidRPr="00EE0900">
              <w:rPr>
                <w:rStyle w:val="Hyperlink"/>
              </w:rPr>
              <w:t>4.</w:t>
            </w:r>
            <w:r w:rsidR="001C7E3F">
              <w:rPr>
                <w:rFonts w:asciiTheme="minorHAnsi" w:hAnsiTheme="minorHAnsi" w:cstheme="minorBidi"/>
                <w:color w:val="auto"/>
              </w:rPr>
              <w:tab/>
            </w:r>
            <w:r w:rsidR="001C7E3F" w:rsidRPr="00EE0900">
              <w:rPr>
                <w:rStyle w:val="Hyperlink"/>
              </w:rPr>
              <w:t>STRATEŠKI PLAN</w:t>
            </w:r>
            <w:r w:rsidR="001C7E3F">
              <w:rPr>
                <w:webHidden/>
              </w:rPr>
              <w:tab/>
            </w:r>
            <w:r w:rsidR="001C7E3F">
              <w:rPr>
                <w:webHidden/>
              </w:rPr>
              <w:fldChar w:fldCharType="begin"/>
            </w:r>
            <w:r w:rsidR="001C7E3F">
              <w:rPr>
                <w:webHidden/>
              </w:rPr>
              <w:instrText xml:space="preserve"> PAGEREF _Toc154667797 \h </w:instrText>
            </w:r>
            <w:r w:rsidR="001C7E3F">
              <w:rPr>
                <w:webHidden/>
              </w:rPr>
            </w:r>
            <w:r w:rsidR="001C7E3F">
              <w:rPr>
                <w:webHidden/>
              </w:rPr>
              <w:fldChar w:fldCharType="separate"/>
            </w:r>
            <w:r w:rsidR="008768B2">
              <w:rPr>
                <w:webHidden/>
              </w:rPr>
              <w:t>6</w:t>
            </w:r>
            <w:r w:rsidR="001C7E3F">
              <w:rPr>
                <w:webHidden/>
              </w:rPr>
              <w:fldChar w:fldCharType="end"/>
            </w:r>
          </w:hyperlink>
        </w:p>
        <w:p w:rsidR="001C7E3F" w:rsidRDefault="008F18B8">
          <w:pPr>
            <w:pStyle w:val="TOC1"/>
            <w:tabs>
              <w:tab w:val="left" w:pos="440"/>
            </w:tabs>
          </w:pPr>
          <w:hyperlink w:anchor="_Toc154667798" w:history="1">
            <w:r w:rsidR="001C7E3F" w:rsidRPr="00EE0900">
              <w:rPr>
                <w:rStyle w:val="Hyperlink"/>
              </w:rPr>
              <w:t>5.</w:t>
            </w:r>
            <w:r w:rsidR="001C7E3F">
              <w:rPr>
                <w:rFonts w:asciiTheme="minorHAnsi" w:hAnsiTheme="minorHAnsi" w:cstheme="minorBidi"/>
                <w:color w:val="auto"/>
              </w:rPr>
              <w:tab/>
            </w:r>
            <w:r w:rsidR="001C7E3F" w:rsidRPr="00EE0900">
              <w:rPr>
                <w:rStyle w:val="Hyperlink"/>
              </w:rPr>
              <w:t>PRIMARNI FOKUS</w:t>
            </w:r>
            <w:r w:rsidR="001C7E3F">
              <w:rPr>
                <w:webHidden/>
              </w:rPr>
              <w:tab/>
            </w:r>
            <w:r w:rsidR="001C7E3F">
              <w:rPr>
                <w:webHidden/>
              </w:rPr>
              <w:fldChar w:fldCharType="begin"/>
            </w:r>
            <w:r w:rsidR="001C7E3F">
              <w:rPr>
                <w:webHidden/>
              </w:rPr>
              <w:instrText xml:space="preserve"> PAGEREF _Toc154667798 \h </w:instrText>
            </w:r>
            <w:r w:rsidR="001C7E3F">
              <w:rPr>
                <w:webHidden/>
              </w:rPr>
            </w:r>
            <w:r w:rsidR="001C7E3F">
              <w:rPr>
                <w:webHidden/>
              </w:rPr>
              <w:fldChar w:fldCharType="separate"/>
            </w:r>
            <w:r w:rsidR="008768B2">
              <w:rPr>
                <w:webHidden/>
              </w:rPr>
              <w:t>7</w:t>
            </w:r>
            <w:r w:rsidR="001C7E3F">
              <w:rPr>
                <w:webHidden/>
              </w:rPr>
              <w:fldChar w:fldCharType="end"/>
            </w:r>
          </w:hyperlink>
        </w:p>
        <w:p w:rsidR="00EE5886" w:rsidRDefault="00EE5886" w:rsidP="00EE5886">
          <w:pPr>
            <w:rPr>
              <w:lang w:val="en-US"/>
            </w:rPr>
          </w:pPr>
          <w:r>
            <w:rPr>
              <w:lang w:val="en-US"/>
            </w:rPr>
            <w:t xml:space="preserve">     5.1 Građani…………………………………………………………………………………………………………………………………………7</w:t>
          </w:r>
        </w:p>
        <w:p w:rsidR="00EE5886" w:rsidRDefault="00EE5886" w:rsidP="00EE5886">
          <w:pPr>
            <w:rPr>
              <w:lang w:val="en-US"/>
            </w:rPr>
          </w:pPr>
          <w:r>
            <w:rPr>
              <w:lang w:val="en-US"/>
            </w:rPr>
            <w:t xml:space="preserve">     5.2 Mediji……………………………………………………………………………………………………………………………………………8</w:t>
          </w:r>
        </w:p>
        <w:p w:rsidR="00EE5886" w:rsidRDefault="00EE5886" w:rsidP="00EE5886">
          <w:pPr>
            <w:rPr>
              <w:lang w:val="en-US"/>
            </w:rPr>
          </w:pPr>
          <w:r>
            <w:rPr>
              <w:lang w:val="en-US"/>
            </w:rPr>
            <w:t xml:space="preserve">    5.3 Državne instituciej na svim nivoima……………………………………………………………………………………………….8</w:t>
          </w:r>
        </w:p>
        <w:p w:rsidR="00EE5886" w:rsidRDefault="00EE5886" w:rsidP="00EE5886">
          <w:pPr>
            <w:rPr>
              <w:lang w:val="en-US"/>
            </w:rPr>
          </w:pPr>
          <w:r>
            <w:rPr>
              <w:lang w:val="en-US"/>
            </w:rPr>
            <w:t xml:space="preserve">    5.4 Nevladin sektor………………………………………………………………………………………………………………………………8</w:t>
          </w:r>
        </w:p>
        <w:p w:rsidR="00EE5886" w:rsidRDefault="00EE5886" w:rsidP="00EE5886">
          <w:pPr>
            <w:rPr>
              <w:lang w:val="en-US"/>
            </w:rPr>
          </w:pPr>
          <w:r>
            <w:rPr>
              <w:lang w:val="en-US"/>
            </w:rPr>
            <w:t xml:space="preserve">    5.5 Stručna javnost………………………………………………………………………………………………………………………………8</w:t>
          </w:r>
        </w:p>
        <w:p w:rsidR="00EE5886" w:rsidRDefault="00EE5886" w:rsidP="00EE5886">
          <w:pPr>
            <w:rPr>
              <w:lang w:val="en-US"/>
            </w:rPr>
          </w:pPr>
          <w:r>
            <w:rPr>
              <w:lang w:val="en-US"/>
            </w:rPr>
            <w:t xml:space="preserve">    5.6 Predstavnici međunarodne zajednice…………………………………………………………………………………………….8</w:t>
          </w:r>
        </w:p>
        <w:p w:rsidR="00EE5886" w:rsidRPr="00EE5886" w:rsidRDefault="00EE5886" w:rsidP="00EE5886">
          <w:pPr>
            <w:rPr>
              <w:lang w:val="en-US"/>
            </w:rPr>
          </w:pPr>
          <w:r>
            <w:rPr>
              <w:lang w:val="en-US"/>
            </w:rPr>
            <w:t xml:space="preserve">    5.7 Interna javnost……………………………………………………………………………………………………………………………….9</w:t>
          </w:r>
        </w:p>
        <w:p w:rsidR="001C7E3F" w:rsidRDefault="008F18B8">
          <w:pPr>
            <w:pStyle w:val="TOC1"/>
            <w:tabs>
              <w:tab w:val="left" w:pos="440"/>
            </w:tabs>
            <w:rPr>
              <w:rFonts w:asciiTheme="minorHAnsi" w:hAnsiTheme="minorHAnsi" w:cstheme="minorBidi"/>
              <w:color w:val="auto"/>
            </w:rPr>
          </w:pPr>
          <w:hyperlink w:anchor="_Toc154667799" w:history="1">
            <w:r w:rsidR="001C7E3F" w:rsidRPr="00EE0900">
              <w:rPr>
                <w:rStyle w:val="Hyperlink"/>
              </w:rPr>
              <w:t>6.</w:t>
            </w:r>
            <w:r w:rsidR="001C7E3F">
              <w:rPr>
                <w:rFonts w:asciiTheme="minorHAnsi" w:hAnsiTheme="minorHAnsi" w:cstheme="minorBidi"/>
                <w:color w:val="auto"/>
              </w:rPr>
              <w:tab/>
            </w:r>
            <w:r w:rsidR="001C7E3F" w:rsidRPr="00EE0900">
              <w:rPr>
                <w:rStyle w:val="Hyperlink"/>
              </w:rPr>
              <w:t>OSNOVNI ALATI ZA UNAPREĐENJE KOMUNIKACIJE</w:t>
            </w:r>
            <w:r w:rsidR="001C7E3F">
              <w:rPr>
                <w:webHidden/>
              </w:rPr>
              <w:tab/>
            </w:r>
            <w:r w:rsidR="001C7E3F">
              <w:rPr>
                <w:webHidden/>
              </w:rPr>
              <w:fldChar w:fldCharType="begin"/>
            </w:r>
            <w:r w:rsidR="001C7E3F">
              <w:rPr>
                <w:webHidden/>
              </w:rPr>
              <w:instrText xml:space="preserve"> PAGEREF _Toc154667799 \h </w:instrText>
            </w:r>
            <w:r w:rsidR="001C7E3F">
              <w:rPr>
                <w:webHidden/>
              </w:rPr>
            </w:r>
            <w:r w:rsidR="001C7E3F">
              <w:rPr>
                <w:webHidden/>
              </w:rPr>
              <w:fldChar w:fldCharType="separate"/>
            </w:r>
            <w:r w:rsidR="008768B2">
              <w:rPr>
                <w:webHidden/>
              </w:rPr>
              <w:t>9</w:t>
            </w:r>
            <w:r w:rsidR="001C7E3F">
              <w:rPr>
                <w:webHidden/>
              </w:rPr>
              <w:fldChar w:fldCharType="end"/>
            </w:r>
          </w:hyperlink>
        </w:p>
        <w:p w:rsidR="001C7E3F" w:rsidRDefault="008F18B8">
          <w:pPr>
            <w:pStyle w:val="TOC2"/>
            <w:tabs>
              <w:tab w:val="right" w:leader="dot" w:pos="9350"/>
            </w:tabs>
            <w:rPr>
              <w:rFonts w:cstheme="minorBidi"/>
              <w:noProof/>
            </w:rPr>
          </w:pPr>
          <w:hyperlink w:anchor="_Toc154667800" w:history="1">
            <w:r w:rsidR="00EE5886">
              <w:rPr>
                <w:rStyle w:val="Hyperlink"/>
                <w:noProof/>
              </w:rPr>
              <w:t>6.1</w:t>
            </w:r>
            <w:r w:rsidR="001C7E3F" w:rsidRPr="00EE0900">
              <w:rPr>
                <w:rStyle w:val="Hyperlink"/>
                <w:noProof/>
              </w:rPr>
              <w:t xml:space="preserve"> Web-stranica Suda BiH</w:t>
            </w:r>
            <w:r w:rsidR="001C7E3F">
              <w:rPr>
                <w:noProof/>
                <w:webHidden/>
              </w:rPr>
              <w:tab/>
            </w:r>
            <w:r w:rsidR="001C7E3F">
              <w:rPr>
                <w:noProof/>
                <w:webHidden/>
              </w:rPr>
              <w:fldChar w:fldCharType="begin"/>
            </w:r>
            <w:r w:rsidR="001C7E3F">
              <w:rPr>
                <w:noProof/>
                <w:webHidden/>
              </w:rPr>
              <w:instrText xml:space="preserve"> PAGEREF _Toc154667800 \h </w:instrText>
            </w:r>
            <w:r w:rsidR="001C7E3F">
              <w:rPr>
                <w:noProof/>
                <w:webHidden/>
              </w:rPr>
            </w:r>
            <w:r w:rsidR="001C7E3F">
              <w:rPr>
                <w:noProof/>
                <w:webHidden/>
              </w:rPr>
              <w:fldChar w:fldCharType="separate"/>
            </w:r>
            <w:r w:rsidR="008768B2">
              <w:rPr>
                <w:noProof/>
                <w:webHidden/>
              </w:rPr>
              <w:t>9</w:t>
            </w:r>
            <w:r w:rsidR="001C7E3F">
              <w:rPr>
                <w:noProof/>
                <w:webHidden/>
              </w:rPr>
              <w:fldChar w:fldCharType="end"/>
            </w:r>
          </w:hyperlink>
        </w:p>
        <w:p w:rsidR="001C7E3F" w:rsidRDefault="008F18B8">
          <w:pPr>
            <w:pStyle w:val="TOC2"/>
            <w:tabs>
              <w:tab w:val="right" w:leader="dot" w:pos="9350"/>
            </w:tabs>
            <w:rPr>
              <w:noProof/>
            </w:rPr>
          </w:pPr>
          <w:hyperlink w:anchor="_Toc154667801" w:history="1">
            <w:r w:rsidR="00EE5886">
              <w:rPr>
                <w:rStyle w:val="Hyperlink"/>
                <w:noProof/>
              </w:rPr>
              <w:t>6.2</w:t>
            </w:r>
            <w:r w:rsidR="001C7E3F" w:rsidRPr="00EE0900">
              <w:rPr>
                <w:rStyle w:val="Hyperlink"/>
                <w:noProof/>
              </w:rPr>
              <w:t xml:space="preserve"> Rješavanje zahtjeva za slobodan pristup informacijama</w:t>
            </w:r>
            <w:r w:rsidR="001C7E3F">
              <w:rPr>
                <w:noProof/>
                <w:webHidden/>
              </w:rPr>
              <w:tab/>
            </w:r>
            <w:r w:rsidR="001C7E3F">
              <w:rPr>
                <w:noProof/>
                <w:webHidden/>
              </w:rPr>
              <w:fldChar w:fldCharType="begin"/>
            </w:r>
            <w:r w:rsidR="001C7E3F">
              <w:rPr>
                <w:noProof/>
                <w:webHidden/>
              </w:rPr>
              <w:instrText xml:space="preserve"> PAGEREF _Toc154667801 \h </w:instrText>
            </w:r>
            <w:r w:rsidR="001C7E3F">
              <w:rPr>
                <w:noProof/>
                <w:webHidden/>
              </w:rPr>
            </w:r>
            <w:r w:rsidR="001C7E3F">
              <w:rPr>
                <w:noProof/>
                <w:webHidden/>
              </w:rPr>
              <w:fldChar w:fldCharType="separate"/>
            </w:r>
            <w:r w:rsidR="008768B2">
              <w:rPr>
                <w:noProof/>
                <w:webHidden/>
              </w:rPr>
              <w:t>10</w:t>
            </w:r>
            <w:r w:rsidR="001C7E3F">
              <w:rPr>
                <w:noProof/>
                <w:webHidden/>
              </w:rPr>
              <w:fldChar w:fldCharType="end"/>
            </w:r>
          </w:hyperlink>
        </w:p>
        <w:p w:rsidR="00EE5886" w:rsidRPr="00EE5886" w:rsidRDefault="00EE5886" w:rsidP="00EE5886">
          <w:pPr>
            <w:rPr>
              <w:lang w:val="en-US"/>
            </w:rPr>
          </w:pPr>
          <w:r>
            <w:rPr>
              <w:lang w:val="en-US"/>
            </w:rPr>
            <w:t xml:space="preserve">    6.3 Sedmični pregled aktivnosti Suda BiH…………………………………………………………………………………………..11</w:t>
          </w:r>
        </w:p>
        <w:p w:rsidR="001C7E3F" w:rsidRDefault="008F18B8">
          <w:pPr>
            <w:pStyle w:val="TOC2"/>
            <w:tabs>
              <w:tab w:val="right" w:leader="dot" w:pos="9350"/>
            </w:tabs>
            <w:rPr>
              <w:rFonts w:cstheme="minorBidi"/>
              <w:noProof/>
            </w:rPr>
          </w:pPr>
          <w:hyperlink w:anchor="_Toc154667802" w:history="1">
            <w:r w:rsidR="00EE5886">
              <w:rPr>
                <w:rStyle w:val="Hyperlink"/>
                <w:noProof/>
              </w:rPr>
              <w:t xml:space="preserve">6.4 </w:t>
            </w:r>
            <w:r w:rsidR="001C7E3F" w:rsidRPr="00EE0900">
              <w:rPr>
                <w:rStyle w:val="Hyperlink"/>
                <w:noProof/>
              </w:rPr>
              <w:t>Saopćenja za javnost</w:t>
            </w:r>
            <w:r w:rsidR="001C7E3F">
              <w:rPr>
                <w:noProof/>
                <w:webHidden/>
              </w:rPr>
              <w:tab/>
            </w:r>
            <w:r w:rsidR="001C7E3F">
              <w:rPr>
                <w:noProof/>
                <w:webHidden/>
              </w:rPr>
              <w:fldChar w:fldCharType="begin"/>
            </w:r>
            <w:r w:rsidR="001C7E3F">
              <w:rPr>
                <w:noProof/>
                <w:webHidden/>
              </w:rPr>
              <w:instrText xml:space="preserve"> PAGEREF _Toc154667802 \h </w:instrText>
            </w:r>
            <w:r w:rsidR="001C7E3F">
              <w:rPr>
                <w:noProof/>
                <w:webHidden/>
              </w:rPr>
            </w:r>
            <w:r w:rsidR="001C7E3F">
              <w:rPr>
                <w:noProof/>
                <w:webHidden/>
              </w:rPr>
              <w:fldChar w:fldCharType="separate"/>
            </w:r>
            <w:r w:rsidR="008768B2">
              <w:rPr>
                <w:noProof/>
                <w:webHidden/>
              </w:rPr>
              <w:t>11</w:t>
            </w:r>
            <w:r w:rsidR="001C7E3F">
              <w:rPr>
                <w:noProof/>
                <w:webHidden/>
              </w:rPr>
              <w:fldChar w:fldCharType="end"/>
            </w:r>
          </w:hyperlink>
        </w:p>
        <w:p w:rsidR="001C7E3F" w:rsidRDefault="008F18B8">
          <w:pPr>
            <w:pStyle w:val="TOC2"/>
            <w:tabs>
              <w:tab w:val="right" w:leader="dot" w:pos="9350"/>
            </w:tabs>
            <w:rPr>
              <w:rFonts w:cstheme="minorBidi"/>
              <w:noProof/>
            </w:rPr>
          </w:pPr>
          <w:hyperlink w:anchor="_Toc154667803" w:history="1">
            <w:r w:rsidR="00EE5886">
              <w:rPr>
                <w:rStyle w:val="Hyperlink"/>
                <w:noProof/>
              </w:rPr>
              <w:t xml:space="preserve">6.5 </w:t>
            </w:r>
            <w:r w:rsidR="001C7E3F" w:rsidRPr="00EE0900">
              <w:rPr>
                <w:rStyle w:val="Hyperlink"/>
                <w:noProof/>
              </w:rPr>
              <w:t>Konferencije za štampu, predavanja, izjave za medije, intervjui</w:t>
            </w:r>
            <w:r w:rsidR="001C7E3F">
              <w:rPr>
                <w:noProof/>
                <w:webHidden/>
              </w:rPr>
              <w:tab/>
            </w:r>
            <w:r w:rsidR="001C7E3F">
              <w:rPr>
                <w:noProof/>
                <w:webHidden/>
              </w:rPr>
              <w:fldChar w:fldCharType="begin"/>
            </w:r>
            <w:r w:rsidR="001C7E3F">
              <w:rPr>
                <w:noProof/>
                <w:webHidden/>
              </w:rPr>
              <w:instrText xml:space="preserve"> PAGEREF _Toc154667803 \h </w:instrText>
            </w:r>
            <w:r w:rsidR="001C7E3F">
              <w:rPr>
                <w:noProof/>
                <w:webHidden/>
              </w:rPr>
            </w:r>
            <w:r w:rsidR="001C7E3F">
              <w:rPr>
                <w:noProof/>
                <w:webHidden/>
              </w:rPr>
              <w:fldChar w:fldCharType="separate"/>
            </w:r>
            <w:r w:rsidR="008768B2">
              <w:rPr>
                <w:noProof/>
                <w:webHidden/>
              </w:rPr>
              <w:t>12</w:t>
            </w:r>
            <w:r w:rsidR="001C7E3F">
              <w:rPr>
                <w:noProof/>
                <w:webHidden/>
              </w:rPr>
              <w:fldChar w:fldCharType="end"/>
            </w:r>
          </w:hyperlink>
        </w:p>
        <w:p w:rsidR="001C7E3F" w:rsidRDefault="008F18B8">
          <w:pPr>
            <w:pStyle w:val="TOC2"/>
            <w:tabs>
              <w:tab w:val="right" w:leader="dot" w:pos="9350"/>
            </w:tabs>
            <w:rPr>
              <w:rFonts w:cstheme="minorBidi"/>
              <w:noProof/>
            </w:rPr>
          </w:pPr>
          <w:hyperlink w:anchor="_Toc154667804" w:history="1">
            <w:r w:rsidR="00EE5886">
              <w:rPr>
                <w:rStyle w:val="Hyperlink"/>
                <w:noProof/>
              </w:rPr>
              <w:t xml:space="preserve">6.6 </w:t>
            </w:r>
            <w:r w:rsidR="001C7E3F" w:rsidRPr="00EE0900">
              <w:rPr>
                <w:rStyle w:val="Hyperlink"/>
                <w:noProof/>
              </w:rPr>
              <w:t>Sudska praksa</w:t>
            </w:r>
            <w:r w:rsidR="001C7E3F">
              <w:rPr>
                <w:noProof/>
                <w:webHidden/>
              </w:rPr>
              <w:tab/>
            </w:r>
            <w:r w:rsidR="001C7E3F">
              <w:rPr>
                <w:noProof/>
                <w:webHidden/>
              </w:rPr>
              <w:fldChar w:fldCharType="begin"/>
            </w:r>
            <w:r w:rsidR="001C7E3F">
              <w:rPr>
                <w:noProof/>
                <w:webHidden/>
              </w:rPr>
              <w:instrText xml:space="preserve"> PAGEREF _Toc154667804 \h </w:instrText>
            </w:r>
            <w:r w:rsidR="001C7E3F">
              <w:rPr>
                <w:noProof/>
                <w:webHidden/>
              </w:rPr>
            </w:r>
            <w:r w:rsidR="001C7E3F">
              <w:rPr>
                <w:noProof/>
                <w:webHidden/>
              </w:rPr>
              <w:fldChar w:fldCharType="separate"/>
            </w:r>
            <w:r w:rsidR="008768B2">
              <w:rPr>
                <w:noProof/>
                <w:webHidden/>
              </w:rPr>
              <w:t>12</w:t>
            </w:r>
            <w:r w:rsidR="001C7E3F">
              <w:rPr>
                <w:noProof/>
                <w:webHidden/>
              </w:rPr>
              <w:fldChar w:fldCharType="end"/>
            </w:r>
          </w:hyperlink>
        </w:p>
        <w:p w:rsidR="001C7E3F" w:rsidRDefault="008F18B8">
          <w:pPr>
            <w:pStyle w:val="TOC2"/>
            <w:tabs>
              <w:tab w:val="right" w:leader="dot" w:pos="9350"/>
            </w:tabs>
            <w:rPr>
              <w:rFonts w:cstheme="minorBidi"/>
              <w:noProof/>
            </w:rPr>
          </w:pPr>
          <w:hyperlink w:anchor="_Toc154667805" w:history="1">
            <w:r w:rsidR="00EE5886">
              <w:rPr>
                <w:rStyle w:val="Hyperlink"/>
                <w:noProof/>
              </w:rPr>
              <w:t xml:space="preserve">6.7 </w:t>
            </w:r>
            <w:r w:rsidR="001C7E3F" w:rsidRPr="00EE0900">
              <w:rPr>
                <w:rStyle w:val="Hyperlink"/>
                <w:noProof/>
              </w:rPr>
              <w:t>Posjete</w:t>
            </w:r>
            <w:r w:rsidR="001C7E3F">
              <w:rPr>
                <w:noProof/>
                <w:webHidden/>
              </w:rPr>
              <w:tab/>
            </w:r>
            <w:r w:rsidR="001C7E3F">
              <w:rPr>
                <w:noProof/>
                <w:webHidden/>
              </w:rPr>
              <w:fldChar w:fldCharType="begin"/>
            </w:r>
            <w:r w:rsidR="001C7E3F">
              <w:rPr>
                <w:noProof/>
                <w:webHidden/>
              </w:rPr>
              <w:instrText xml:space="preserve"> PAGEREF _Toc154667805 \h </w:instrText>
            </w:r>
            <w:r w:rsidR="001C7E3F">
              <w:rPr>
                <w:noProof/>
                <w:webHidden/>
              </w:rPr>
            </w:r>
            <w:r w:rsidR="001C7E3F">
              <w:rPr>
                <w:noProof/>
                <w:webHidden/>
              </w:rPr>
              <w:fldChar w:fldCharType="separate"/>
            </w:r>
            <w:r w:rsidR="008768B2">
              <w:rPr>
                <w:noProof/>
                <w:webHidden/>
              </w:rPr>
              <w:t>13</w:t>
            </w:r>
            <w:r w:rsidR="001C7E3F">
              <w:rPr>
                <w:noProof/>
                <w:webHidden/>
              </w:rPr>
              <w:fldChar w:fldCharType="end"/>
            </w:r>
          </w:hyperlink>
        </w:p>
        <w:p w:rsidR="001C7E3F" w:rsidRDefault="008F18B8">
          <w:pPr>
            <w:pStyle w:val="TOC2"/>
            <w:tabs>
              <w:tab w:val="right" w:leader="dot" w:pos="9350"/>
            </w:tabs>
            <w:rPr>
              <w:rFonts w:cstheme="minorBidi"/>
              <w:noProof/>
            </w:rPr>
          </w:pPr>
          <w:hyperlink w:anchor="_Toc154667806" w:history="1">
            <w:r w:rsidR="00EE5886">
              <w:rPr>
                <w:rStyle w:val="Hyperlink"/>
                <w:noProof/>
              </w:rPr>
              <w:t xml:space="preserve">6.8 </w:t>
            </w:r>
            <w:r w:rsidR="001C7E3F" w:rsidRPr="00EE0900">
              <w:rPr>
                <w:rStyle w:val="Hyperlink"/>
                <w:noProof/>
              </w:rPr>
              <w:t>Brošure</w:t>
            </w:r>
            <w:r w:rsidR="001C7E3F">
              <w:rPr>
                <w:noProof/>
                <w:webHidden/>
              </w:rPr>
              <w:tab/>
            </w:r>
            <w:r w:rsidR="001C7E3F">
              <w:rPr>
                <w:noProof/>
                <w:webHidden/>
              </w:rPr>
              <w:fldChar w:fldCharType="begin"/>
            </w:r>
            <w:r w:rsidR="001C7E3F">
              <w:rPr>
                <w:noProof/>
                <w:webHidden/>
              </w:rPr>
              <w:instrText xml:space="preserve"> PAGEREF _Toc154667806 \h </w:instrText>
            </w:r>
            <w:r w:rsidR="001C7E3F">
              <w:rPr>
                <w:noProof/>
                <w:webHidden/>
              </w:rPr>
            </w:r>
            <w:r w:rsidR="001C7E3F">
              <w:rPr>
                <w:noProof/>
                <w:webHidden/>
              </w:rPr>
              <w:fldChar w:fldCharType="separate"/>
            </w:r>
            <w:r w:rsidR="008768B2">
              <w:rPr>
                <w:noProof/>
                <w:webHidden/>
              </w:rPr>
              <w:t>14</w:t>
            </w:r>
            <w:r w:rsidR="001C7E3F">
              <w:rPr>
                <w:noProof/>
                <w:webHidden/>
              </w:rPr>
              <w:fldChar w:fldCharType="end"/>
            </w:r>
          </w:hyperlink>
        </w:p>
        <w:p w:rsidR="001C7E3F" w:rsidRDefault="008F18B8">
          <w:pPr>
            <w:pStyle w:val="TOC2"/>
            <w:tabs>
              <w:tab w:val="right" w:leader="dot" w:pos="9350"/>
            </w:tabs>
            <w:rPr>
              <w:rStyle w:val="Hyperlink"/>
              <w:noProof/>
            </w:rPr>
          </w:pPr>
          <w:hyperlink w:anchor="_Toc154667807" w:history="1">
            <w:r w:rsidR="00EE5886">
              <w:rPr>
                <w:rStyle w:val="Hyperlink"/>
                <w:noProof/>
              </w:rPr>
              <w:t xml:space="preserve">6.9 </w:t>
            </w:r>
            <w:r w:rsidR="001C7E3F" w:rsidRPr="00EE0900">
              <w:rPr>
                <w:rStyle w:val="Hyperlink"/>
                <w:noProof/>
              </w:rPr>
              <w:t>Društvene mreže</w:t>
            </w:r>
            <w:r w:rsidR="001C7E3F">
              <w:rPr>
                <w:noProof/>
                <w:webHidden/>
              </w:rPr>
              <w:tab/>
            </w:r>
            <w:r w:rsidR="001C7E3F">
              <w:rPr>
                <w:noProof/>
                <w:webHidden/>
              </w:rPr>
              <w:fldChar w:fldCharType="begin"/>
            </w:r>
            <w:r w:rsidR="001C7E3F">
              <w:rPr>
                <w:noProof/>
                <w:webHidden/>
              </w:rPr>
              <w:instrText xml:space="preserve"> PAGEREF _Toc154667807 \h </w:instrText>
            </w:r>
            <w:r w:rsidR="001C7E3F">
              <w:rPr>
                <w:noProof/>
                <w:webHidden/>
              </w:rPr>
            </w:r>
            <w:r w:rsidR="001C7E3F">
              <w:rPr>
                <w:noProof/>
                <w:webHidden/>
              </w:rPr>
              <w:fldChar w:fldCharType="separate"/>
            </w:r>
            <w:r w:rsidR="008768B2">
              <w:rPr>
                <w:noProof/>
                <w:webHidden/>
              </w:rPr>
              <w:t>14</w:t>
            </w:r>
            <w:r w:rsidR="001C7E3F">
              <w:rPr>
                <w:noProof/>
                <w:webHidden/>
              </w:rPr>
              <w:fldChar w:fldCharType="end"/>
            </w:r>
          </w:hyperlink>
        </w:p>
        <w:p w:rsidR="001C7E3F" w:rsidRPr="001C7E3F" w:rsidRDefault="001C7E3F" w:rsidP="001C7E3F">
          <w:pPr>
            <w:rPr>
              <w:lang w:val="en-US"/>
            </w:rPr>
          </w:pPr>
          <w:r>
            <w:rPr>
              <w:lang w:val="en-US"/>
            </w:rPr>
            <w:t xml:space="preserve">    </w:t>
          </w:r>
          <w:r w:rsidR="00EE5886">
            <w:rPr>
              <w:lang w:val="en-US"/>
            </w:rPr>
            <w:t xml:space="preserve">6.10 </w:t>
          </w:r>
          <w:r>
            <w:rPr>
              <w:lang w:val="en-US"/>
            </w:rPr>
            <w:t>Objavljivanje sudskih odluka………………………………………………………………………………………………………14</w:t>
          </w:r>
        </w:p>
        <w:p w:rsidR="001C7E3F" w:rsidRDefault="008F18B8" w:rsidP="001C7E3F">
          <w:pPr>
            <w:pStyle w:val="TOC2"/>
            <w:tabs>
              <w:tab w:val="left" w:pos="660"/>
              <w:tab w:val="right" w:leader="dot" w:pos="9350"/>
            </w:tabs>
            <w:ind w:left="0"/>
            <w:rPr>
              <w:rFonts w:cstheme="minorBidi"/>
              <w:noProof/>
            </w:rPr>
          </w:pPr>
          <w:hyperlink w:anchor="_Toc154667808" w:history="1">
            <w:r w:rsidR="001C7E3F" w:rsidRPr="00EE0900">
              <w:rPr>
                <w:rStyle w:val="Hyperlink"/>
                <w:noProof/>
              </w:rPr>
              <w:t>7.</w:t>
            </w:r>
            <w:r w:rsidR="001C7E3F">
              <w:rPr>
                <w:rFonts w:cstheme="minorBidi"/>
                <w:noProof/>
              </w:rPr>
              <w:t xml:space="preserve">   </w:t>
            </w:r>
            <w:r w:rsidR="001C7E3F" w:rsidRPr="001C7E3F">
              <w:rPr>
                <w:rFonts w:ascii="Arial" w:hAnsi="Arial" w:cs="Arial"/>
                <w:noProof/>
              </w:rPr>
              <w:t xml:space="preserve"> </w:t>
            </w:r>
            <w:r w:rsidR="001C7E3F" w:rsidRPr="001C7E3F">
              <w:rPr>
                <w:rStyle w:val="Hyperlink"/>
                <w:rFonts w:ascii="Arial" w:hAnsi="Arial" w:cs="Arial"/>
                <w:noProof/>
              </w:rPr>
              <w:t>INTERNA KOMUNIKACIJA</w:t>
            </w:r>
            <w:r w:rsidR="001C7E3F">
              <w:rPr>
                <w:noProof/>
                <w:webHidden/>
              </w:rPr>
              <w:tab/>
            </w:r>
            <w:r w:rsidR="001C7E3F">
              <w:rPr>
                <w:noProof/>
                <w:webHidden/>
              </w:rPr>
              <w:fldChar w:fldCharType="begin"/>
            </w:r>
            <w:r w:rsidR="001C7E3F">
              <w:rPr>
                <w:noProof/>
                <w:webHidden/>
              </w:rPr>
              <w:instrText xml:space="preserve"> PAGEREF _Toc154667808 \h </w:instrText>
            </w:r>
            <w:r w:rsidR="001C7E3F">
              <w:rPr>
                <w:noProof/>
                <w:webHidden/>
              </w:rPr>
            </w:r>
            <w:r w:rsidR="001C7E3F">
              <w:rPr>
                <w:noProof/>
                <w:webHidden/>
              </w:rPr>
              <w:fldChar w:fldCharType="separate"/>
            </w:r>
            <w:r w:rsidR="008768B2">
              <w:rPr>
                <w:noProof/>
                <w:webHidden/>
              </w:rPr>
              <w:t>15</w:t>
            </w:r>
            <w:r w:rsidR="001C7E3F">
              <w:rPr>
                <w:noProof/>
                <w:webHidden/>
              </w:rPr>
              <w:fldChar w:fldCharType="end"/>
            </w:r>
          </w:hyperlink>
        </w:p>
        <w:p w:rsidR="001C7E3F" w:rsidRDefault="001C7E3F" w:rsidP="001C7E3F">
          <w:pPr>
            <w:pStyle w:val="TOC1"/>
            <w:tabs>
              <w:tab w:val="left" w:pos="440"/>
            </w:tabs>
            <w:rPr>
              <w:rFonts w:asciiTheme="minorHAnsi" w:hAnsiTheme="minorHAnsi" w:cstheme="minorBidi"/>
              <w:color w:val="auto"/>
            </w:rPr>
          </w:pPr>
          <w:r>
            <w:rPr>
              <w:rStyle w:val="Hyperlink"/>
            </w:rPr>
            <w:t xml:space="preserve">8.  </w:t>
          </w:r>
          <w:hyperlink w:anchor="_Toc154667809" w:history="1">
            <w:r w:rsidRPr="00EE0900">
              <w:rPr>
                <w:rStyle w:val="Hyperlink"/>
              </w:rPr>
              <w:t>KRIZNO KOMUNICIRANJE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_Toc154667809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8768B2">
              <w:rPr>
                <w:webHidden/>
              </w:rPr>
              <w:t>15</w:t>
            </w:r>
            <w:r>
              <w:rPr>
                <w:webHidden/>
              </w:rPr>
              <w:fldChar w:fldCharType="end"/>
            </w:r>
          </w:hyperlink>
        </w:p>
        <w:p w:rsidR="001C7E3F" w:rsidRDefault="008F18B8">
          <w:pPr>
            <w:pStyle w:val="TOC1"/>
            <w:tabs>
              <w:tab w:val="left" w:pos="440"/>
            </w:tabs>
            <w:rPr>
              <w:rFonts w:asciiTheme="minorHAnsi" w:hAnsiTheme="minorHAnsi" w:cstheme="minorBidi"/>
              <w:color w:val="auto"/>
            </w:rPr>
          </w:pPr>
          <w:hyperlink w:anchor="_Toc154667810" w:history="1">
            <w:r w:rsidR="001C7E3F" w:rsidRPr="00EE0900">
              <w:rPr>
                <w:rStyle w:val="Hyperlink"/>
              </w:rPr>
              <w:t>9.</w:t>
            </w:r>
            <w:r w:rsidR="001C7E3F">
              <w:rPr>
                <w:rFonts w:asciiTheme="minorHAnsi" w:hAnsiTheme="minorHAnsi" w:cstheme="minorBidi"/>
                <w:color w:val="auto"/>
              </w:rPr>
              <w:tab/>
            </w:r>
            <w:r w:rsidR="001C7E3F" w:rsidRPr="00EE0900">
              <w:rPr>
                <w:rStyle w:val="Hyperlink"/>
              </w:rPr>
              <w:t>IZVRŠITELJI KOMUNIKACIJSKE STRATEGIJE</w:t>
            </w:r>
            <w:r w:rsidR="001C7E3F">
              <w:rPr>
                <w:webHidden/>
              </w:rPr>
              <w:tab/>
            </w:r>
            <w:r w:rsidR="001C7E3F">
              <w:rPr>
                <w:webHidden/>
              </w:rPr>
              <w:fldChar w:fldCharType="begin"/>
            </w:r>
            <w:r w:rsidR="001C7E3F">
              <w:rPr>
                <w:webHidden/>
              </w:rPr>
              <w:instrText xml:space="preserve"> PAGEREF _Toc154667810 \h </w:instrText>
            </w:r>
            <w:r w:rsidR="001C7E3F">
              <w:rPr>
                <w:webHidden/>
              </w:rPr>
            </w:r>
            <w:r w:rsidR="001C7E3F">
              <w:rPr>
                <w:webHidden/>
              </w:rPr>
              <w:fldChar w:fldCharType="separate"/>
            </w:r>
            <w:r w:rsidR="008768B2">
              <w:rPr>
                <w:webHidden/>
              </w:rPr>
              <w:t>17</w:t>
            </w:r>
            <w:r w:rsidR="001C7E3F">
              <w:rPr>
                <w:webHidden/>
              </w:rPr>
              <w:fldChar w:fldCharType="end"/>
            </w:r>
          </w:hyperlink>
        </w:p>
        <w:p w:rsidR="001C7E3F" w:rsidRDefault="008F18B8">
          <w:pPr>
            <w:pStyle w:val="TOC1"/>
            <w:tabs>
              <w:tab w:val="left" w:pos="660"/>
            </w:tabs>
            <w:rPr>
              <w:rFonts w:asciiTheme="minorHAnsi" w:hAnsiTheme="minorHAnsi" w:cstheme="minorBidi"/>
              <w:color w:val="auto"/>
            </w:rPr>
          </w:pPr>
          <w:hyperlink w:anchor="_Toc154667811" w:history="1">
            <w:r w:rsidR="001C7E3F" w:rsidRPr="00EE0900">
              <w:rPr>
                <w:rStyle w:val="Hyperlink"/>
              </w:rPr>
              <w:t>10.</w:t>
            </w:r>
            <w:r w:rsidR="001C7E3F">
              <w:rPr>
                <w:rFonts w:asciiTheme="minorHAnsi" w:hAnsiTheme="minorHAnsi" w:cstheme="minorBidi"/>
                <w:color w:val="auto"/>
              </w:rPr>
              <w:tab/>
            </w:r>
            <w:r w:rsidR="001C7E3F" w:rsidRPr="00EE0900">
              <w:rPr>
                <w:rStyle w:val="Hyperlink"/>
              </w:rPr>
              <w:t>EVALUACIJA</w:t>
            </w:r>
            <w:r w:rsidR="001C7E3F">
              <w:rPr>
                <w:webHidden/>
              </w:rPr>
              <w:tab/>
            </w:r>
            <w:r w:rsidR="001C7E3F">
              <w:rPr>
                <w:webHidden/>
              </w:rPr>
              <w:fldChar w:fldCharType="begin"/>
            </w:r>
            <w:r w:rsidR="001C7E3F">
              <w:rPr>
                <w:webHidden/>
              </w:rPr>
              <w:instrText xml:space="preserve"> PAGEREF _Toc154667811 \h </w:instrText>
            </w:r>
            <w:r w:rsidR="001C7E3F">
              <w:rPr>
                <w:webHidden/>
              </w:rPr>
            </w:r>
            <w:r w:rsidR="001C7E3F">
              <w:rPr>
                <w:webHidden/>
              </w:rPr>
              <w:fldChar w:fldCharType="separate"/>
            </w:r>
            <w:r w:rsidR="008768B2">
              <w:rPr>
                <w:webHidden/>
              </w:rPr>
              <w:t>18</w:t>
            </w:r>
            <w:r w:rsidR="001C7E3F">
              <w:rPr>
                <w:webHidden/>
              </w:rPr>
              <w:fldChar w:fldCharType="end"/>
            </w:r>
          </w:hyperlink>
        </w:p>
        <w:p w:rsidR="004C6C2F" w:rsidRPr="00EE5886" w:rsidRDefault="003D1FA1" w:rsidP="00EE5886">
          <w:pPr>
            <w:pStyle w:val="TOC1"/>
            <w:spacing w:line="360" w:lineRule="auto"/>
            <w:rPr>
              <w:bCs/>
              <w:sz w:val="24"/>
              <w:szCs w:val="24"/>
            </w:rPr>
          </w:pPr>
          <w:r w:rsidRPr="00624A2C">
            <w:rPr>
              <w:bCs/>
              <w:sz w:val="24"/>
              <w:szCs w:val="24"/>
            </w:rPr>
            <w:fldChar w:fldCharType="end"/>
          </w:r>
        </w:p>
      </w:sdtContent>
    </w:sdt>
    <w:p w:rsidR="00EE5886" w:rsidRDefault="00EE5886" w:rsidP="00EE5886">
      <w:pPr>
        <w:pStyle w:val="Heading1"/>
        <w:spacing w:line="360" w:lineRule="auto"/>
        <w:ind w:left="360"/>
      </w:pPr>
    </w:p>
    <w:p w:rsidR="00C74A35" w:rsidRPr="006208BD" w:rsidRDefault="00EE5886" w:rsidP="00EE5886">
      <w:pPr>
        <w:pStyle w:val="Heading1"/>
        <w:spacing w:line="360" w:lineRule="auto"/>
        <w:ind w:left="360"/>
      </w:pPr>
      <w:r>
        <w:t xml:space="preserve">1. </w:t>
      </w:r>
      <w:r w:rsidR="00C74A35" w:rsidRPr="006208BD">
        <w:t xml:space="preserve"> </w:t>
      </w:r>
      <w:bookmarkStart w:id="0" w:name="_Toc154667795"/>
      <w:r w:rsidR="00C74A35" w:rsidRPr="006208BD">
        <w:t>UVOD</w:t>
      </w:r>
      <w:bookmarkEnd w:id="0"/>
    </w:p>
    <w:p w:rsidR="0042596B" w:rsidRPr="003B40C2" w:rsidRDefault="0042596B" w:rsidP="004C6C2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B40C2">
        <w:rPr>
          <w:rFonts w:ascii="Arial" w:hAnsi="Arial" w:cs="Arial"/>
          <w:sz w:val="24"/>
          <w:szCs w:val="24"/>
        </w:rPr>
        <w:t>Komunikacijska strategija Suda Bosne i Hercegovine je strateški dokument Suda BiH koji sadrži skup mjera i aktivnosti koje se provode s ciljem uspostavljanja, razvoja i unapređenja komunikacije sa medijima, općom javnosti,</w:t>
      </w:r>
      <w:r w:rsidR="003B40C2" w:rsidRPr="003B40C2">
        <w:rPr>
          <w:rFonts w:ascii="Arial" w:hAnsi="Arial" w:cs="Arial"/>
          <w:sz w:val="24"/>
          <w:szCs w:val="24"/>
        </w:rPr>
        <w:t xml:space="preserve"> međunarodnim organizacijama</w:t>
      </w:r>
      <w:r w:rsidR="002A4A35">
        <w:rPr>
          <w:rFonts w:ascii="Arial" w:hAnsi="Arial" w:cs="Arial"/>
          <w:sz w:val="24"/>
          <w:szCs w:val="24"/>
        </w:rPr>
        <w:t xml:space="preserve"> i</w:t>
      </w:r>
      <w:r w:rsidRPr="003B40C2">
        <w:rPr>
          <w:rFonts w:ascii="Arial" w:hAnsi="Arial" w:cs="Arial"/>
          <w:sz w:val="24"/>
          <w:szCs w:val="24"/>
        </w:rPr>
        <w:t xml:space="preserve"> profesionalnom zajednicom</w:t>
      </w:r>
      <w:r w:rsidR="002A4A35">
        <w:rPr>
          <w:rFonts w:ascii="Arial" w:hAnsi="Arial" w:cs="Arial"/>
          <w:sz w:val="24"/>
          <w:szCs w:val="24"/>
        </w:rPr>
        <w:t>.</w:t>
      </w:r>
    </w:p>
    <w:p w:rsidR="0042596B" w:rsidRPr="003B40C2" w:rsidRDefault="00A84DC6" w:rsidP="004C6C2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B40C2">
        <w:rPr>
          <w:rFonts w:ascii="Arial" w:hAnsi="Arial" w:cs="Arial"/>
          <w:sz w:val="24"/>
          <w:szCs w:val="24"/>
        </w:rPr>
        <w:t xml:space="preserve">Cilj Komunikacijske strategije Suda BiH je </w:t>
      </w:r>
      <w:r w:rsidR="003B40C2" w:rsidRPr="003B40C2">
        <w:rPr>
          <w:rFonts w:ascii="Arial" w:hAnsi="Arial" w:cs="Arial"/>
          <w:sz w:val="24"/>
          <w:szCs w:val="24"/>
        </w:rPr>
        <w:t>postavlja</w:t>
      </w:r>
      <w:r w:rsidR="00D64969">
        <w:rPr>
          <w:rFonts w:ascii="Arial" w:hAnsi="Arial" w:cs="Arial"/>
          <w:sz w:val="24"/>
          <w:szCs w:val="24"/>
        </w:rPr>
        <w:t>n</w:t>
      </w:r>
      <w:r w:rsidR="003B40C2" w:rsidRPr="003B40C2">
        <w:rPr>
          <w:rFonts w:ascii="Arial" w:hAnsi="Arial" w:cs="Arial"/>
          <w:sz w:val="24"/>
          <w:szCs w:val="24"/>
        </w:rPr>
        <w:t xml:space="preserve">je okvira </w:t>
      </w:r>
      <w:r w:rsidRPr="003B40C2">
        <w:rPr>
          <w:rFonts w:ascii="Arial" w:hAnsi="Arial" w:cs="Arial"/>
          <w:sz w:val="24"/>
          <w:szCs w:val="24"/>
        </w:rPr>
        <w:t xml:space="preserve">za rad na stalnom unapređenju unutrašnje, vanjske i krizne komunikacije. </w:t>
      </w:r>
      <w:r w:rsidR="0042596B" w:rsidRPr="003B40C2">
        <w:rPr>
          <w:rFonts w:ascii="Arial" w:hAnsi="Arial" w:cs="Arial"/>
          <w:sz w:val="24"/>
          <w:szCs w:val="24"/>
        </w:rPr>
        <w:t>Također, ciljevi koji se žele postići normama u Strategiji jesu</w:t>
      </w:r>
      <w:r w:rsidRPr="003B40C2">
        <w:rPr>
          <w:rFonts w:ascii="Arial" w:hAnsi="Arial" w:cs="Arial"/>
          <w:sz w:val="24"/>
          <w:szCs w:val="24"/>
        </w:rPr>
        <w:t xml:space="preserve"> kontinuirani rad </w:t>
      </w:r>
      <w:r w:rsidR="000154E9" w:rsidRPr="003B40C2">
        <w:rPr>
          <w:rFonts w:ascii="Arial" w:hAnsi="Arial" w:cs="Arial"/>
          <w:sz w:val="24"/>
          <w:szCs w:val="24"/>
        </w:rPr>
        <w:t>na transparentnosti i kvalitetnom</w:t>
      </w:r>
      <w:r w:rsidRPr="003B40C2">
        <w:rPr>
          <w:rFonts w:ascii="Arial" w:hAnsi="Arial" w:cs="Arial"/>
          <w:sz w:val="24"/>
          <w:szCs w:val="24"/>
        </w:rPr>
        <w:t xml:space="preserve"> predstavljanj</w:t>
      </w:r>
      <w:r w:rsidR="000154E9" w:rsidRPr="003B40C2">
        <w:rPr>
          <w:rFonts w:ascii="Arial" w:hAnsi="Arial" w:cs="Arial"/>
          <w:sz w:val="24"/>
          <w:szCs w:val="24"/>
        </w:rPr>
        <w:t>u</w:t>
      </w:r>
      <w:r w:rsidRPr="003B40C2">
        <w:rPr>
          <w:rFonts w:ascii="Arial" w:hAnsi="Arial" w:cs="Arial"/>
          <w:sz w:val="24"/>
          <w:szCs w:val="24"/>
        </w:rPr>
        <w:t xml:space="preserve"> rad</w:t>
      </w:r>
      <w:r w:rsidR="000154E9" w:rsidRPr="003B40C2">
        <w:rPr>
          <w:rFonts w:ascii="Arial" w:hAnsi="Arial" w:cs="Arial"/>
          <w:sz w:val="24"/>
          <w:szCs w:val="24"/>
        </w:rPr>
        <w:t>a Suda BiH</w:t>
      </w:r>
      <w:r w:rsidR="001B0AC0" w:rsidRPr="003B40C2">
        <w:rPr>
          <w:rFonts w:ascii="Arial" w:hAnsi="Arial" w:cs="Arial"/>
          <w:sz w:val="24"/>
          <w:szCs w:val="24"/>
        </w:rPr>
        <w:t xml:space="preserve"> u javnosti</w:t>
      </w:r>
      <w:r w:rsidR="000154E9" w:rsidRPr="003B40C2">
        <w:rPr>
          <w:rFonts w:ascii="Arial" w:hAnsi="Arial" w:cs="Arial"/>
          <w:sz w:val="24"/>
          <w:szCs w:val="24"/>
        </w:rPr>
        <w:t>, jačanje povjerenja</w:t>
      </w:r>
      <w:r w:rsidRPr="003B40C2">
        <w:rPr>
          <w:rFonts w:ascii="Arial" w:hAnsi="Arial" w:cs="Arial"/>
          <w:sz w:val="24"/>
          <w:szCs w:val="24"/>
        </w:rPr>
        <w:t xml:space="preserve"> javnosti u instituciju</w:t>
      </w:r>
      <w:r w:rsidR="000154E9" w:rsidRPr="003B40C2">
        <w:rPr>
          <w:rFonts w:ascii="Arial" w:hAnsi="Arial" w:cs="Arial"/>
          <w:sz w:val="24"/>
          <w:szCs w:val="24"/>
        </w:rPr>
        <w:t xml:space="preserve">, </w:t>
      </w:r>
      <w:r w:rsidR="001B0AC0" w:rsidRPr="003B40C2">
        <w:rPr>
          <w:rFonts w:ascii="Arial" w:hAnsi="Arial" w:cs="Arial"/>
          <w:sz w:val="24"/>
          <w:szCs w:val="24"/>
        </w:rPr>
        <w:t xml:space="preserve">kao i </w:t>
      </w:r>
      <w:r w:rsidR="000154E9" w:rsidRPr="003B40C2">
        <w:rPr>
          <w:rFonts w:ascii="Arial" w:hAnsi="Arial" w:cs="Arial"/>
          <w:sz w:val="24"/>
          <w:szCs w:val="24"/>
        </w:rPr>
        <w:t>približavanje pravde građanima</w:t>
      </w:r>
      <w:r w:rsidRPr="003B40C2">
        <w:rPr>
          <w:rFonts w:ascii="Arial" w:hAnsi="Arial" w:cs="Arial"/>
          <w:sz w:val="24"/>
          <w:szCs w:val="24"/>
        </w:rPr>
        <w:t>.</w:t>
      </w:r>
      <w:r w:rsidR="0042596B" w:rsidRPr="003B40C2">
        <w:rPr>
          <w:rFonts w:ascii="Arial" w:hAnsi="Arial" w:cs="Arial"/>
          <w:sz w:val="24"/>
          <w:szCs w:val="24"/>
        </w:rPr>
        <w:t xml:space="preserve"> </w:t>
      </w:r>
    </w:p>
    <w:p w:rsidR="0042596B" w:rsidRPr="003B40C2" w:rsidRDefault="0042596B" w:rsidP="004C6C2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B40C2">
        <w:rPr>
          <w:rFonts w:ascii="Arial" w:hAnsi="Arial" w:cs="Arial"/>
          <w:sz w:val="24"/>
          <w:szCs w:val="24"/>
        </w:rPr>
        <w:t xml:space="preserve">U dokumentu je predstavljen sistemski okvir za strateško planiranje interakcije sa svim oblicima javnosti, reagovanjem u kriznim situacijama, omogućavajući bolje razumijevanje konkretnih aktivnosti Suda BiH među strankama, advokatima i drugim pripadnicima profesionalne zajednice, čime se promoviše transparentnost, zakonitost i institucionalna odgovornost Suda. Konačno, cilj Strategije jeste jačanje ugleda i postizanje </w:t>
      </w:r>
      <w:r w:rsidR="00D64969">
        <w:rPr>
          <w:rFonts w:ascii="Arial" w:hAnsi="Arial" w:cs="Arial"/>
          <w:sz w:val="24"/>
          <w:szCs w:val="24"/>
        </w:rPr>
        <w:t>potpune</w:t>
      </w:r>
      <w:r w:rsidRPr="003B40C2">
        <w:rPr>
          <w:rFonts w:ascii="Arial" w:hAnsi="Arial" w:cs="Arial"/>
          <w:sz w:val="24"/>
          <w:szCs w:val="24"/>
        </w:rPr>
        <w:t xml:space="preserve"> transparentnosti Suda BiH. </w:t>
      </w:r>
    </w:p>
    <w:p w:rsidR="000154E9" w:rsidRPr="0042596B" w:rsidRDefault="001B0AC0" w:rsidP="004C6C2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B40C2">
        <w:rPr>
          <w:rFonts w:ascii="Arial" w:hAnsi="Arial" w:cs="Arial"/>
          <w:sz w:val="24"/>
          <w:szCs w:val="24"/>
        </w:rPr>
        <w:t>Sud BiH ima</w:t>
      </w:r>
      <w:r w:rsidR="00776ECE" w:rsidRPr="003B40C2">
        <w:rPr>
          <w:rFonts w:ascii="Arial" w:hAnsi="Arial" w:cs="Arial"/>
          <w:sz w:val="24"/>
          <w:szCs w:val="24"/>
        </w:rPr>
        <w:t xml:space="preserve"> komplet</w:t>
      </w:r>
      <w:r w:rsidR="00F43460" w:rsidRPr="003B40C2">
        <w:rPr>
          <w:rFonts w:ascii="Arial" w:hAnsi="Arial" w:cs="Arial"/>
          <w:sz w:val="24"/>
          <w:szCs w:val="24"/>
        </w:rPr>
        <w:t>no</w:t>
      </w:r>
      <w:r w:rsidR="00776ECE" w:rsidRPr="003B40C2">
        <w:rPr>
          <w:rFonts w:ascii="Arial" w:hAnsi="Arial" w:cs="Arial"/>
          <w:sz w:val="24"/>
          <w:szCs w:val="24"/>
        </w:rPr>
        <w:t xml:space="preserve"> specijalizovan</w:t>
      </w:r>
      <w:r w:rsidR="00F43460" w:rsidRPr="003B40C2">
        <w:rPr>
          <w:rFonts w:ascii="Arial" w:hAnsi="Arial" w:cs="Arial"/>
          <w:sz w:val="24"/>
          <w:szCs w:val="24"/>
        </w:rPr>
        <w:t xml:space="preserve">o Odjeljenje za </w:t>
      </w:r>
      <w:r w:rsidR="00D64969">
        <w:rPr>
          <w:rFonts w:ascii="Arial" w:hAnsi="Arial" w:cs="Arial"/>
          <w:sz w:val="24"/>
          <w:szCs w:val="24"/>
        </w:rPr>
        <w:t>informisanje javnosti</w:t>
      </w:r>
      <w:r w:rsidR="00776ECE" w:rsidRPr="003B40C2">
        <w:rPr>
          <w:rFonts w:ascii="Arial" w:hAnsi="Arial" w:cs="Arial"/>
          <w:sz w:val="24"/>
          <w:szCs w:val="24"/>
        </w:rPr>
        <w:t xml:space="preserve">, čiji je </w:t>
      </w:r>
      <w:r w:rsidRPr="003B40C2">
        <w:rPr>
          <w:rFonts w:ascii="Arial" w:hAnsi="Arial" w:cs="Arial"/>
          <w:sz w:val="24"/>
          <w:szCs w:val="24"/>
        </w:rPr>
        <w:t xml:space="preserve">primarni </w:t>
      </w:r>
      <w:r w:rsidR="00776ECE" w:rsidRPr="003B40C2">
        <w:rPr>
          <w:rFonts w:ascii="Arial" w:hAnsi="Arial" w:cs="Arial"/>
          <w:sz w:val="24"/>
          <w:szCs w:val="24"/>
        </w:rPr>
        <w:t>zadatak komuniciranje s javnošću</w:t>
      </w:r>
      <w:r w:rsidR="00F43460" w:rsidRPr="003B40C2">
        <w:rPr>
          <w:rFonts w:ascii="Arial" w:hAnsi="Arial" w:cs="Arial"/>
          <w:sz w:val="24"/>
          <w:szCs w:val="24"/>
        </w:rPr>
        <w:t>. Uposlenici navedenog Odjeljenja postupaju po pravilima utvrđenim Pravilnikom o ostvarivanju pristupa informacijama pod kontrolom Suda BiH i saradnji Suda sa zajednicom</w:t>
      </w:r>
      <w:r w:rsidRPr="003B40C2">
        <w:rPr>
          <w:rFonts w:ascii="Arial" w:hAnsi="Arial" w:cs="Arial"/>
          <w:sz w:val="24"/>
          <w:szCs w:val="24"/>
        </w:rPr>
        <w:t xml:space="preserve"> i Zakonom o slobodi pristupa informacijama u BiH</w:t>
      </w:r>
      <w:r w:rsidR="00F43460" w:rsidRPr="003B40C2">
        <w:rPr>
          <w:rFonts w:ascii="Arial" w:hAnsi="Arial" w:cs="Arial"/>
          <w:sz w:val="24"/>
          <w:szCs w:val="24"/>
        </w:rPr>
        <w:t>.</w:t>
      </w:r>
    </w:p>
    <w:p w:rsidR="00C54F7C" w:rsidRDefault="00A01215" w:rsidP="004C6C2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Strategija</w:t>
      </w:r>
      <w:r w:rsidRPr="00A0121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poštuje</w:t>
      </w:r>
      <w:r w:rsidRPr="00A01215">
        <w:rPr>
          <w:rFonts w:ascii="Arial" w:hAnsi="Arial" w:cs="Arial"/>
          <w:sz w:val="24"/>
          <w:szCs w:val="24"/>
        </w:rPr>
        <w:t xml:space="preserve"> strateška opredjeljenja Visokog sudskog i tužilačkog vijeća (VSTV) BiH za unapređenjem transparentnosti pravosudnih institucija u BiH</w:t>
      </w:r>
      <w:r>
        <w:rPr>
          <w:rFonts w:ascii="Arial" w:hAnsi="Arial" w:cs="Arial"/>
          <w:sz w:val="24"/>
          <w:szCs w:val="24"/>
        </w:rPr>
        <w:t xml:space="preserve">, te je ova Strategija </w:t>
      </w:r>
      <w:r w:rsidRPr="00A01215">
        <w:rPr>
          <w:rFonts w:ascii="Arial" w:hAnsi="Arial" w:cs="Arial"/>
          <w:sz w:val="24"/>
          <w:szCs w:val="24"/>
        </w:rPr>
        <w:t xml:space="preserve">izrađena na osnovu Komunikacijske strategije </w:t>
      </w:r>
      <w:r w:rsidR="00D64969">
        <w:rPr>
          <w:rFonts w:ascii="Arial" w:hAnsi="Arial" w:cs="Arial"/>
          <w:sz w:val="24"/>
          <w:szCs w:val="24"/>
        </w:rPr>
        <w:t>navedene institucije</w:t>
      </w:r>
      <w:r>
        <w:rPr>
          <w:rFonts w:ascii="Arial" w:hAnsi="Arial" w:cs="Arial"/>
          <w:sz w:val="24"/>
          <w:szCs w:val="24"/>
        </w:rPr>
        <w:t xml:space="preserve">. Primjena Komunikacijske strategije Suda BiH </w:t>
      </w:r>
      <w:r w:rsidRPr="00A0121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se odnosi na period od </w:t>
      </w:r>
      <w:r w:rsidRPr="00E87ABF">
        <w:rPr>
          <w:rFonts w:ascii="Arial" w:hAnsi="Arial" w:cs="Arial"/>
          <w:sz w:val="24"/>
          <w:szCs w:val="24"/>
        </w:rPr>
        <w:t>2024. do 202</w:t>
      </w:r>
      <w:r w:rsidR="004D55D0" w:rsidRPr="00E87ABF">
        <w:rPr>
          <w:rFonts w:ascii="Arial" w:hAnsi="Arial" w:cs="Arial"/>
          <w:sz w:val="24"/>
          <w:szCs w:val="24"/>
        </w:rPr>
        <w:t>5</w:t>
      </w:r>
      <w:r w:rsidRPr="00E87ABF">
        <w:rPr>
          <w:rFonts w:ascii="Arial" w:hAnsi="Arial" w:cs="Arial"/>
          <w:sz w:val="24"/>
          <w:szCs w:val="24"/>
        </w:rPr>
        <w:t>. godine</w:t>
      </w:r>
      <w:r>
        <w:rPr>
          <w:rFonts w:ascii="Arial" w:hAnsi="Arial" w:cs="Arial"/>
          <w:sz w:val="24"/>
          <w:szCs w:val="24"/>
        </w:rPr>
        <w:t>,</w:t>
      </w:r>
      <w:r w:rsidRPr="00A01215">
        <w:rPr>
          <w:rFonts w:ascii="Arial" w:hAnsi="Arial" w:cs="Arial"/>
          <w:sz w:val="24"/>
          <w:szCs w:val="24"/>
        </w:rPr>
        <w:t xml:space="preserve"> nakon čega </w:t>
      </w:r>
      <w:r>
        <w:rPr>
          <w:rFonts w:ascii="Arial" w:hAnsi="Arial" w:cs="Arial"/>
          <w:sz w:val="24"/>
          <w:szCs w:val="24"/>
        </w:rPr>
        <w:t xml:space="preserve">će biti planirano </w:t>
      </w:r>
      <w:r w:rsidRPr="00A01215">
        <w:rPr>
          <w:rFonts w:ascii="Arial" w:hAnsi="Arial" w:cs="Arial"/>
          <w:sz w:val="24"/>
          <w:szCs w:val="24"/>
        </w:rPr>
        <w:t xml:space="preserve">revidiranje. </w:t>
      </w:r>
      <w:r w:rsidR="002D0ADE">
        <w:rPr>
          <w:rFonts w:ascii="Arial" w:hAnsi="Arial" w:cs="Arial"/>
          <w:sz w:val="24"/>
          <w:szCs w:val="24"/>
        </w:rPr>
        <w:t xml:space="preserve">Strategija će pratiti aktivnosti koje poduzima Visoko sudsko i tužilačko vijeće u provedbi Komunikacijske strategije i Medijskog akcionog plana. </w:t>
      </w:r>
    </w:p>
    <w:p w:rsidR="00C54F7C" w:rsidRPr="00760DB5" w:rsidRDefault="00C54F7C" w:rsidP="004C6C2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60DB5">
        <w:rPr>
          <w:rFonts w:ascii="Arial" w:hAnsi="Arial" w:cs="Arial"/>
          <w:sz w:val="24"/>
          <w:szCs w:val="24"/>
        </w:rPr>
        <w:t>Ciljevi Komunikacijske strategije Suda BiH:</w:t>
      </w:r>
    </w:p>
    <w:p w:rsidR="00C54F7C" w:rsidRPr="00760DB5" w:rsidRDefault="00C54F7C" w:rsidP="004C6C2F">
      <w:pPr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60DB5">
        <w:rPr>
          <w:rFonts w:ascii="Arial" w:hAnsi="Arial" w:cs="Arial"/>
          <w:sz w:val="24"/>
          <w:szCs w:val="24"/>
        </w:rPr>
        <w:t>unapređenje povjerenj</w:t>
      </w:r>
      <w:r>
        <w:rPr>
          <w:rFonts w:ascii="Arial" w:hAnsi="Arial" w:cs="Arial"/>
          <w:sz w:val="24"/>
          <w:szCs w:val="24"/>
        </w:rPr>
        <w:t>a</w:t>
      </w:r>
      <w:r w:rsidRPr="00760DB5">
        <w:rPr>
          <w:rFonts w:ascii="Arial" w:hAnsi="Arial" w:cs="Arial"/>
          <w:sz w:val="24"/>
          <w:szCs w:val="24"/>
        </w:rPr>
        <w:t xml:space="preserve"> i sv</w:t>
      </w:r>
      <w:r>
        <w:rPr>
          <w:rFonts w:ascii="Arial" w:hAnsi="Arial" w:cs="Arial"/>
          <w:sz w:val="24"/>
          <w:szCs w:val="24"/>
        </w:rPr>
        <w:t>ijesti</w:t>
      </w:r>
      <w:r w:rsidRPr="00760DB5">
        <w:rPr>
          <w:rFonts w:ascii="Arial" w:hAnsi="Arial" w:cs="Arial"/>
          <w:sz w:val="24"/>
          <w:szCs w:val="24"/>
        </w:rPr>
        <w:t xml:space="preserve"> o radu Suda</w:t>
      </w:r>
      <w:r w:rsidR="00D64969">
        <w:rPr>
          <w:rFonts w:ascii="Arial" w:hAnsi="Arial" w:cs="Arial"/>
          <w:sz w:val="24"/>
          <w:szCs w:val="24"/>
        </w:rPr>
        <w:t>;</w:t>
      </w:r>
    </w:p>
    <w:p w:rsidR="00C54F7C" w:rsidRPr="00760DB5" w:rsidRDefault="00D64969" w:rsidP="004C6C2F">
      <w:pPr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C54F7C">
        <w:rPr>
          <w:rFonts w:ascii="Arial" w:hAnsi="Arial" w:cs="Arial"/>
          <w:sz w:val="24"/>
          <w:szCs w:val="24"/>
        </w:rPr>
        <w:t>ostupnost informacija, pristupačnost i jasnost</w:t>
      </w:r>
      <w:r>
        <w:rPr>
          <w:rFonts w:ascii="Arial" w:hAnsi="Arial" w:cs="Arial"/>
          <w:sz w:val="24"/>
          <w:szCs w:val="24"/>
        </w:rPr>
        <w:t>;</w:t>
      </w:r>
    </w:p>
    <w:p w:rsidR="00C54F7C" w:rsidRPr="00760DB5" w:rsidRDefault="00D64969" w:rsidP="004C6C2F">
      <w:pPr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C54F7C" w:rsidRPr="00760DB5">
        <w:rPr>
          <w:rFonts w:ascii="Arial" w:hAnsi="Arial" w:cs="Arial"/>
          <w:sz w:val="24"/>
          <w:szCs w:val="24"/>
        </w:rPr>
        <w:t>ransparentnost</w:t>
      </w:r>
      <w:r>
        <w:rPr>
          <w:rFonts w:ascii="Arial" w:hAnsi="Arial" w:cs="Arial"/>
          <w:sz w:val="24"/>
          <w:szCs w:val="24"/>
        </w:rPr>
        <w:t>;</w:t>
      </w:r>
    </w:p>
    <w:p w:rsidR="00C54F7C" w:rsidRPr="00760DB5" w:rsidRDefault="00D64969" w:rsidP="004C6C2F">
      <w:pPr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C54F7C" w:rsidRPr="00760DB5">
        <w:rPr>
          <w:rFonts w:ascii="Arial" w:hAnsi="Arial" w:cs="Arial"/>
          <w:sz w:val="24"/>
          <w:szCs w:val="24"/>
        </w:rPr>
        <w:t>odučavanje i informisanje o Sudu – šta je Sud i čime se bavi</w:t>
      </w:r>
      <w:r>
        <w:rPr>
          <w:rFonts w:ascii="Arial" w:hAnsi="Arial" w:cs="Arial"/>
          <w:sz w:val="24"/>
          <w:szCs w:val="24"/>
        </w:rPr>
        <w:t>;</w:t>
      </w:r>
    </w:p>
    <w:p w:rsidR="00C54F7C" w:rsidRPr="00760DB5" w:rsidRDefault="00D64969" w:rsidP="004C6C2F">
      <w:pPr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C54F7C" w:rsidRPr="00760DB5">
        <w:rPr>
          <w:rFonts w:ascii="Arial" w:hAnsi="Arial" w:cs="Arial"/>
          <w:sz w:val="24"/>
          <w:szCs w:val="24"/>
        </w:rPr>
        <w:t>romovisanje pristupa Sudu i njegove vidljivosti</w:t>
      </w:r>
      <w:r>
        <w:rPr>
          <w:rFonts w:ascii="Arial" w:hAnsi="Arial" w:cs="Arial"/>
          <w:sz w:val="24"/>
          <w:szCs w:val="24"/>
        </w:rPr>
        <w:t>;</w:t>
      </w:r>
    </w:p>
    <w:p w:rsidR="00C54F7C" w:rsidRPr="00760DB5" w:rsidRDefault="00D64969" w:rsidP="004C6C2F">
      <w:pPr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C54F7C">
        <w:rPr>
          <w:rFonts w:ascii="Arial" w:hAnsi="Arial" w:cs="Arial"/>
          <w:sz w:val="24"/>
          <w:szCs w:val="24"/>
        </w:rPr>
        <w:t>n</w:t>
      </w:r>
      <w:r w:rsidR="00D83E8C">
        <w:rPr>
          <w:rFonts w:ascii="Arial" w:hAnsi="Arial" w:cs="Arial"/>
          <w:sz w:val="24"/>
          <w:szCs w:val="24"/>
        </w:rPr>
        <w:t xml:space="preserve">formisanost kolega, uključenost, </w:t>
      </w:r>
      <w:r w:rsidR="00C54F7C">
        <w:rPr>
          <w:rFonts w:ascii="Arial" w:hAnsi="Arial" w:cs="Arial"/>
          <w:sz w:val="24"/>
          <w:szCs w:val="24"/>
        </w:rPr>
        <w:t>posvećenost</w:t>
      </w:r>
      <w:r w:rsidR="00D83E8C">
        <w:rPr>
          <w:rFonts w:ascii="Arial" w:hAnsi="Arial" w:cs="Arial"/>
          <w:sz w:val="24"/>
          <w:szCs w:val="24"/>
        </w:rPr>
        <w:t xml:space="preserve"> i kooperativnost</w:t>
      </w:r>
      <w:r>
        <w:rPr>
          <w:rFonts w:ascii="Arial" w:hAnsi="Arial" w:cs="Arial"/>
          <w:sz w:val="24"/>
          <w:szCs w:val="24"/>
        </w:rPr>
        <w:t>.</w:t>
      </w:r>
    </w:p>
    <w:p w:rsidR="00BE2458" w:rsidRDefault="00BE2458" w:rsidP="007E5992"/>
    <w:p w:rsidR="006F02F2" w:rsidRDefault="006F02F2" w:rsidP="006F02F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F76FC">
        <w:rPr>
          <w:rFonts w:ascii="Arial" w:hAnsi="Arial" w:cs="Arial"/>
          <w:sz w:val="24"/>
          <w:szCs w:val="24"/>
        </w:rPr>
        <w:t>Sud Bosne i Hercegovine će uraditi revidiranje Komunikacijske strategije nakon donošenja Vodiča za pristup informacijama u skladu sa novim Zakonom o slobodi pristupa informacijama u BiH.</w:t>
      </w:r>
    </w:p>
    <w:p w:rsidR="00322BAA" w:rsidRPr="004C6C2F" w:rsidRDefault="004A5444" w:rsidP="008F18B8">
      <w:pPr>
        <w:pStyle w:val="Heading1"/>
        <w:numPr>
          <w:ilvl w:val="0"/>
          <w:numId w:val="18"/>
        </w:numPr>
        <w:spacing w:line="360" w:lineRule="auto"/>
      </w:pPr>
      <w:bookmarkStart w:id="1" w:name="_Toc154667796"/>
      <w:r w:rsidRPr="00EE53F7">
        <w:t>PRAVNI OKVIR</w:t>
      </w:r>
      <w:bookmarkEnd w:id="1"/>
    </w:p>
    <w:p w:rsidR="004A5444" w:rsidRDefault="004A5444" w:rsidP="004C6C2F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72058E">
        <w:rPr>
          <w:rFonts w:ascii="Arial" w:hAnsi="Arial" w:cs="Arial"/>
          <w:b/>
          <w:sz w:val="24"/>
          <w:szCs w:val="24"/>
        </w:rPr>
        <w:t>Zakon o Sudu BiH</w:t>
      </w:r>
      <w:r w:rsidR="0072058E" w:rsidRPr="0072058E">
        <w:t xml:space="preserve"> </w:t>
      </w:r>
      <w:r w:rsidR="0072058E">
        <w:rPr>
          <w:rFonts w:ascii="Arial" w:hAnsi="Arial" w:cs="Arial"/>
          <w:b/>
          <w:sz w:val="24"/>
          <w:szCs w:val="24"/>
        </w:rPr>
        <w:t>(</w:t>
      </w:r>
      <w:r w:rsidR="0072058E" w:rsidRPr="0072058E">
        <w:rPr>
          <w:rFonts w:ascii="Arial" w:hAnsi="Arial" w:cs="Arial"/>
          <w:b/>
          <w:sz w:val="24"/>
          <w:szCs w:val="24"/>
        </w:rPr>
        <w:t>Službe</w:t>
      </w:r>
      <w:r w:rsidR="0072058E">
        <w:rPr>
          <w:rFonts w:ascii="Arial" w:hAnsi="Arial" w:cs="Arial"/>
          <w:b/>
          <w:sz w:val="24"/>
          <w:szCs w:val="24"/>
        </w:rPr>
        <w:t>ni glasnik BiH, broj 49/09,74/09, 97/09)</w:t>
      </w:r>
    </w:p>
    <w:p w:rsidR="0072058E" w:rsidRPr="0072058E" w:rsidRDefault="0072058E" w:rsidP="004C6C2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2058E">
        <w:rPr>
          <w:rFonts w:ascii="Arial" w:hAnsi="Arial" w:cs="Arial"/>
          <w:sz w:val="24"/>
          <w:szCs w:val="24"/>
        </w:rPr>
        <w:t xml:space="preserve">Zakon o Sudu Bosne i Hercegovine je nametnut odlukom Visokog predstavnika, usvojila </w:t>
      </w:r>
      <w:r>
        <w:rPr>
          <w:rFonts w:ascii="Arial" w:hAnsi="Arial" w:cs="Arial"/>
          <w:sz w:val="24"/>
          <w:szCs w:val="24"/>
        </w:rPr>
        <w:t xml:space="preserve">ga </w:t>
      </w:r>
      <w:r w:rsidRPr="0072058E">
        <w:rPr>
          <w:rFonts w:ascii="Arial" w:hAnsi="Arial" w:cs="Arial"/>
          <w:sz w:val="24"/>
          <w:szCs w:val="24"/>
        </w:rPr>
        <w:t>je Parlamentarna skupština Bosne i Hercegovine na sje</w:t>
      </w:r>
      <w:r w:rsidR="00322BAA">
        <w:rPr>
          <w:rFonts w:ascii="Arial" w:hAnsi="Arial" w:cs="Arial"/>
          <w:sz w:val="24"/>
          <w:szCs w:val="24"/>
        </w:rPr>
        <w:t xml:space="preserve">dnici Doma naroda </w:t>
      </w:r>
      <w:r>
        <w:rPr>
          <w:rFonts w:ascii="Arial" w:hAnsi="Arial" w:cs="Arial"/>
          <w:sz w:val="24"/>
          <w:szCs w:val="24"/>
        </w:rPr>
        <w:t>održanoj 25.</w:t>
      </w:r>
      <w:r w:rsidRPr="0072058E">
        <w:rPr>
          <w:rFonts w:ascii="Arial" w:hAnsi="Arial" w:cs="Arial"/>
          <w:sz w:val="24"/>
          <w:szCs w:val="24"/>
        </w:rPr>
        <w:t>6.2002. i sjednici Zastupničk</w:t>
      </w:r>
      <w:r>
        <w:rPr>
          <w:rFonts w:ascii="Arial" w:hAnsi="Arial" w:cs="Arial"/>
          <w:sz w:val="24"/>
          <w:szCs w:val="24"/>
        </w:rPr>
        <w:t>og doma održanoj 3.</w:t>
      </w:r>
      <w:r w:rsidRPr="0072058E">
        <w:rPr>
          <w:rFonts w:ascii="Arial" w:hAnsi="Arial" w:cs="Arial"/>
          <w:sz w:val="24"/>
          <w:szCs w:val="24"/>
        </w:rPr>
        <w:t xml:space="preserve">7.2002. </w:t>
      </w:r>
      <w:r w:rsidR="00322BAA">
        <w:rPr>
          <w:rFonts w:ascii="Arial" w:hAnsi="Arial" w:cs="Arial"/>
          <w:sz w:val="24"/>
          <w:szCs w:val="24"/>
        </w:rPr>
        <w:t xml:space="preserve">godine i na ovaj način se </w:t>
      </w:r>
      <w:r w:rsidRPr="0072058E">
        <w:rPr>
          <w:rFonts w:ascii="Arial" w:hAnsi="Arial" w:cs="Arial"/>
          <w:sz w:val="24"/>
          <w:szCs w:val="24"/>
        </w:rPr>
        <w:t xml:space="preserve">osiguralo provođenje nadležnosti države Bosne i Hercegovine, poštivanje ljudskih prava i vladavine </w:t>
      </w:r>
      <w:r w:rsidR="00322BAA">
        <w:rPr>
          <w:rFonts w:ascii="Arial" w:hAnsi="Arial" w:cs="Arial"/>
          <w:sz w:val="24"/>
          <w:szCs w:val="24"/>
        </w:rPr>
        <w:t>prava</w:t>
      </w:r>
      <w:r w:rsidRPr="0072058E">
        <w:rPr>
          <w:rFonts w:ascii="Arial" w:hAnsi="Arial" w:cs="Arial"/>
          <w:sz w:val="24"/>
          <w:szCs w:val="24"/>
        </w:rPr>
        <w:t xml:space="preserve"> na njenoj teritoriji.</w:t>
      </w:r>
    </w:p>
    <w:p w:rsidR="004A5444" w:rsidRDefault="004A5444" w:rsidP="004C6C2F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2058E">
        <w:rPr>
          <w:rFonts w:ascii="Arial" w:hAnsi="Arial" w:cs="Arial"/>
          <w:b/>
          <w:sz w:val="24"/>
          <w:szCs w:val="24"/>
        </w:rPr>
        <w:t>Komunikacijska strategija VSTV-a</w:t>
      </w:r>
    </w:p>
    <w:p w:rsidR="0072058E" w:rsidRPr="0072058E" w:rsidRDefault="0072058E" w:rsidP="004C6C2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2058E">
        <w:rPr>
          <w:rFonts w:ascii="Arial" w:hAnsi="Arial" w:cs="Arial"/>
          <w:sz w:val="24"/>
          <w:szCs w:val="24"/>
        </w:rPr>
        <w:t>Komunikacijska strategija VSTV-a je pružila strateški okvir na unapređenje transparentnosti na osnovu koje je donesena Strategija Suda BiH.</w:t>
      </w:r>
    </w:p>
    <w:p w:rsidR="004A5444" w:rsidRDefault="004A5444" w:rsidP="004C6C2F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72058E">
        <w:rPr>
          <w:rFonts w:ascii="Arial" w:hAnsi="Arial" w:cs="Arial"/>
          <w:b/>
          <w:sz w:val="24"/>
          <w:szCs w:val="24"/>
        </w:rPr>
        <w:t>Z</w:t>
      </w:r>
      <w:r w:rsidR="0072058E" w:rsidRPr="0072058E">
        <w:rPr>
          <w:rFonts w:ascii="Arial" w:hAnsi="Arial" w:cs="Arial"/>
          <w:b/>
          <w:sz w:val="24"/>
          <w:szCs w:val="24"/>
        </w:rPr>
        <w:t xml:space="preserve">akon o slobodi pristupa informacijama u BiH </w:t>
      </w:r>
      <w:r w:rsidR="00414207" w:rsidRPr="0072058E">
        <w:rPr>
          <w:rFonts w:ascii="Arial" w:hAnsi="Arial" w:cs="Arial"/>
          <w:b/>
          <w:sz w:val="24"/>
          <w:szCs w:val="24"/>
        </w:rPr>
        <w:t>(Službeni glasnik BiH, broj 61/23)</w:t>
      </w:r>
      <w:r w:rsidR="0072058E">
        <w:rPr>
          <w:rFonts w:ascii="Arial" w:hAnsi="Arial" w:cs="Arial"/>
          <w:b/>
          <w:sz w:val="24"/>
          <w:szCs w:val="24"/>
        </w:rPr>
        <w:t xml:space="preserve"> (ZOSPI)</w:t>
      </w:r>
    </w:p>
    <w:p w:rsidR="0072058E" w:rsidRDefault="00322BAA" w:rsidP="004C6C2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22BAA">
        <w:rPr>
          <w:rFonts w:ascii="Arial" w:hAnsi="Arial" w:cs="Arial"/>
          <w:sz w:val="24"/>
          <w:szCs w:val="24"/>
        </w:rPr>
        <w:t>Zakon</w:t>
      </w:r>
      <w:r>
        <w:rPr>
          <w:rFonts w:ascii="Arial" w:hAnsi="Arial" w:cs="Arial"/>
          <w:sz w:val="24"/>
          <w:szCs w:val="24"/>
        </w:rPr>
        <w:t>om</w:t>
      </w:r>
      <w:r w:rsidRPr="00322BAA">
        <w:rPr>
          <w:rFonts w:ascii="Arial" w:hAnsi="Arial" w:cs="Arial"/>
          <w:sz w:val="24"/>
          <w:szCs w:val="24"/>
        </w:rPr>
        <w:t xml:space="preserve"> o slobodi pristupa informacijama u BiH</w:t>
      </w:r>
      <w:r w:rsidR="0072058E" w:rsidRPr="0072058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 propisuje</w:t>
      </w:r>
      <w:r w:rsidR="0072058E" w:rsidRPr="0072058E">
        <w:rPr>
          <w:rFonts w:ascii="Arial" w:hAnsi="Arial" w:cs="Arial"/>
          <w:sz w:val="24"/>
          <w:szCs w:val="24"/>
        </w:rPr>
        <w:t xml:space="preserve"> pravo na pristup informacijama i ponovnu upotrebu dokumenata u posjedu institucija vlasti Bosne i Hercegovine, pravnih lica koja osnivaju institucije Bosne i Hercegovine i nezavisnih organa Bosne i Hercegovine osnovanih posebnim zakonom </w:t>
      </w:r>
      <w:r>
        <w:rPr>
          <w:rFonts w:ascii="Arial" w:hAnsi="Arial" w:cs="Arial"/>
          <w:sz w:val="24"/>
          <w:szCs w:val="24"/>
        </w:rPr>
        <w:t>i kao takav predstavlja osnovni alat kojim se Sud BiH koristi prilikom odlučivanja o zahtjevima za pristup informacijama pod kontrolom Suda.</w:t>
      </w:r>
    </w:p>
    <w:p w:rsidR="00BE35BB" w:rsidRPr="0072058E" w:rsidRDefault="00BE35BB" w:rsidP="004C6C2F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72058E" w:rsidRPr="0072058E" w:rsidRDefault="004A5444" w:rsidP="004C6C2F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2058E">
        <w:rPr>
          <w:rFonts w:ascii="Arial" w:hAnsi="Arial" w:cs="Arial"/>
          <w:b/>
          <w:sz w:val="24"/>
          <w:szCs w:val="24"/>
        </w:rPr>
        <w:t>Pravilnik o ostvarivanju pristupa informacijama pod kontrolom Suda BiH i saradnji Suda sa zajednicom</w:t>
      </w:r>
    </w:p>
    <w:p w:rsidR="0072058E" w:rsidRDefault="0072058E" w:rsidP="004C6C2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2058E">
        <w:rPr>
          <w:rFonts w:ascii="Arial" w:hAnsi="Arial" w:cs="Arial"/>
          <w:sz w:val="24"/>
          <w:szCs w:val="24"/>
        </w:rPr>
        <w:t>Pravilnikom o ostvarivanju pristupa informaci</w:t>
      </w:r>
      <w:r>
        <w:rPr>
          <w:rFonts w:ascii="Arial" w:hAnsi="Arial" w:cs="Arial"/>
          <w:sz w:val="24"/>
          <w:szCs w:val="24"/>
        </w:rPr>
        <w:t xml:space="preserve">jama pod kontrolom Suda Bosne i </w:t>
      </w:r>
      <w:r w:rsidRPr="0072058E">
        <w:rPr>
          <w:rFonts w:ascii="Arial" w:hAnsi="Arial" w:cs="Arial"/>
          <w:sz w:val="24"/>
          <w:szCs w:val="24"/>
        </w:rPr>
        <w:t>Hercegovine i</w:t>
      </w:r>
      <w:r>
        <w:rPr>
          <w:rFonts w:ascii="Arial" w:hAnsi="Arial" w:cs="Arial"/>
          <w:sz w:val="24"/>
          <w:szCs w:val="24"/>
        </w:rPr>
        <w:t xml:space="preserve"> </w:t>
      </w:r>
      <w:r w:rsidRPr="0072058E">
        <w:rPr>
          <w:rFonts w:ascii="Arial" w:hAnsi="Arial" w:cs="Arial"/>
          <w:sz w:val="24"/>
          <w:szCs w:val="24"/>
        </w:rPr>
        <w:t>saradnji S</w:t>
      </w:r>
      <w:r>
        <w:rPr>
          <w:rFonts w:ascii="Arial" w:hAnsi="Arial" w:cs="Arial"/>
          <w:sz w:val="24"/>
          <w:szCs w:val="24"/>
        </w:rPr>
        <w:t xml:space="preserve">uda sa zajednicom uređuju se </w:t>
      </w:r>
      <w:r w:rsidRPr="0072058E">
        <w:rPr>
          <w:rFonts w:ascii="Arial" w:hAnsi="Arial" w:cs="Arial"/>
          <w:sz w:val="24"/>
          <w:szCs w:val="24"/>
        </w:rPr>
        <w:t>prava i</w:t>
      </w:r>
      <w:r>
        <w:rPr>
          <w:rFonts w:ascii="Arial" w:hAnsi="Arial" w:cs="Arial"/>
          <w:sz w:val="24"/>
          <w:szCs w:val="24"/>
        </w:rPr>
        <w:t xml:space="preserve"> </w:t>
      </w:r>
      <w:r w:rsidRPr="0072058E">
        <w:rPr>
          <w:rFonts w:ascii="Arial" w:hAnsi="Arial" w:cs="Arial"/>
          <w:sz w:val="24"/>
          <w:szCs w:val="24"/>
        </w:rPr>
        <w:t xml:space="preserve">obaveze svih </w:t>
      </w:r>
      <w:r>
        <w:rPr>
          <w:rFonts w:ascii="Arial" w:hAnsi="Arial" w:cs="Arial"/>
          <w:sz w:val="24"/>
          <w:szCs w:val="24"/>
        </w:rPr>
        <w:t xml:space="preserve">sudija i </w:t>
      </w:r>
      <w:r w:rsidRPr="0072058E">
        <w:rPr>
          <w:rFonts w:ascii="Arial" w:hAnsi="Arial" w:cs="Arial"/>
          <w:sz w:val="24"/>
          <w:szCs w:val="24"/>
        </w:rPr>
        <w:t xml:space="preserve">zaposlenih </w:t>
      </w:r>
      <w:r>
        <w:rPr>
          <w:rFonts w:ascii="Arial" w:hAnsi="Arial" w:cs="Arial"/>
          <w:sz w:val="24"/>
          <w:szCs w:val="24"/>
        </w:rPr>
        <w:t>u Sudu B</w:t>
      </w:r>
      <w:r w:rsidRPr="0072058E">
        <w:rPr>
          <w:rFonts w:ascii="Arial" w:hAnsi="Arial" w:cs="Arial"/>
          <w:sz w:val="24"/>
          <w:szCs w:val="24"/>
        </w:rPr>
        <w:t xml:space="preserve">osne </w:t>
      </w:r>
      <w:r>
        <w:rPr>
          <w:rFonts w:ascii="Arial" w:hAnsi="Arial" w:cs="Arial"/>
          <w:sz w:val="24"/>
          <w:szCs w:val="24"/>
        </w:rPr>
        <w:t>i Hercegovine</w:t>
      </w:r>
      <w:r w:rsidRPr="0072058E">
        <w:rPr>
          <w:rFonts w:ascii="Arial" w:hAnsi="Arial" w:cs="Arial"/>
          <w:sz w:val="24"/>
          <w:szCs w:val="24"/>
        </w:rPr>
        <w:t>, a posebno Odjeljenja za informiranje javn</w:t>
      </w:r>
      <w:r>
        <w:rPr>
          <w:rFonts w:ascii="Arial" w:hAnsi="Arial" w:cs="Arial"/>
          <w:sz w:val="24"/>
          <w:szCs w:val="24"/>
        </w:rPr>
        <w:t>osti Suda BiH</w:t>
      </w:r>
      <w:r w:rsidR="00FE17A1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Pr="0072058E">
        <w:rPr>
          <w:rFonts w:ascii="Arial" w:hAnsi="Arial" w:cs="Arial"/>
          <w:sz w:val="24"/>
          <w:szCs w:val="24"/>
        </w:rPr>
        <w:t xml:space="preserve">u postupcima </w:t>
      </w:r>
      <w:r>
        <w:rPr>
          <w:rFonts w:ascii="Arial" w:hAnsi="Arial" w:cs="Arial"/>
          <w:sz w:val="24"/>
          <w:szCs w:val="24"/>
        </w:rPr>
        <w:t xml:space="preserve">u vezi sa zahtjevima za pristup </w:t>
      </w:r>
      <w:r w:rsidRPr="0072058E">
        <w:rPr>
          <w:rFonts w:ascii="Arial" w:hAnsi="Arial" w:cs="Arial"/>
          <w:sz w:val="24"/>
          <w:szCs w:val="24"/>
        </w:rPr>
        <w:t>informacijama pod kontrolom Suda BiH</w:t>
      </w:r>
      <w:r>
        <w:rPr>
          <w:rFonts w:ascii="Arial" w:hAnsi="Arial" w:cs="Arial"/>
          <w:sz w:val="24"/>
          <w:szCs w:val="24"/>
        </w:rPr>
        <w:t xml:space="preserve">, </w:t>
      </w:r>
      <w:r w:rsidRPr="0072058E">
        <w:rPr>
          <w:rFonts w:ascii="Arial" w:hAnsi="Arial" w:cs="Arial"/>
          <w:sz w:val="24"/>
          <w:szCs w:val="24"/>
        </w:rPr>
        <w:t>objavljivanjem sudskih odluka i</w:t>
      </w:r>
      <w:r>
        <w:rPr>
          <w:rFonts w:ascii="Arial" w:hAnsi="Arial" w:cs="Arial"/>
          <w:sz w:val="24"/>
          <w:szCs w:val="24"/>
        </w:rPr>
        <w:t xml:space="preserve"> </w:t>
      </w:r>
      <w:r w:rsidRPr="0072058E">
        <w:rPr>
          <w:rFonts w:ascii="Arial" w:hAnsi="Arial" w:cs="Arial"/>
          <w:sz w:val="24"/>
          <w:szCs w:val="24"/>
        </w:rPr>
        <w:t>drugih informativnih sa</w:t>
      </w:r>
      <w:r>
        <w:rPr>
          <w:rFonts w:ascii="Arial" w:hAnsi="Arial" w:cs="Arial"/>
          <w:sz w:val="24"/>
          <w:szCs w:val="24"/>
        </w:rPr>
        <w:t>držaja pod kontrolom Suda na zvanič</w:t>
      </w:r>
      <w:r w:rsidRPr="0072058E">
        <w:rPr>
          <w:rFonts w:ascii="Arial" w:hAnsi="Arial" w:cs="Arial"/>
          <w:sz w:val="24"/>
          <w:szCs w:val="24"/>
        </w:rPr>
        <w:t>noj internet stranici Suda</w:t>
      </w:r>
      <w:r w:rsidR="00FE17A1">
        <w:rPr>
          <w:rFonts w:ascii="Arial" w:hAnsi="Arial" w:cs="Arial"/>
          <w:sz w:val="24"/>
          <w:szCs w:val="24"/>
        </w:rPr>
        <w:t xml:space="preserve"> i</w:t>
      </w:r>
      <w:r>
        <w:rPr>
          <w:rFonts w:ascii="Arial" w:hAnsi="Arial" w:cs="Arial"/>
          <w:sz w:val="24"/>
          <w:szCs w:val="24"/>
        </w:rPr>
        <w:t xml:space="preserve"> saradnje Suda sa građ</w:t>
      </w:r>
      <w:r w:rsidRPr="0072058E">
        <w:rPr>
          <w:rFonts w:ascii="Arial" w:hAnsi="Arial" w:cs="Arial"/>
          <w:sz w:val="24"/>
          <w:szCs w:val="24"/>
        </w:rPr>
        <w:t>an</w:t>
      </w:r>
      <w:r>
        <w:rPr>
          <w:rFonts w:ascii="Arial" w:hAnsi="Arial" w:cs="Arial"/>
          <w:sz w:val="24"/>
          <w:szCs w:val="24"/>
        </w:rPr>
        <w:t>ima, grupama građana, domaćim i stranim medijskim kuć</w:t>
      </w:r>
      <w:r w:rsidRPr="0072058E">
        <w:rPr>
          <w:rFonts w:ascii="Arial" w:hAnsi="Arial" w:cs="Arial"/>
          <w:sz w:val="24"/>
          <w:szCs w:val="24"/>
        </w:rPr>
        <w:t xml:space="preserve">ama, organizacijama </w:t>
      </w:r>
      <w:r>
        <w:rPr>
          <w:rFonts w:ascii="Arial" w:hAnsi="Arial" w:cs="Arial"/>
          <w:sz w:val="24"/>
          <w:szCs w:val="24"/>
        </w:rPr>
        <w:t>i udruženjima.</w:t>
      </w:r>
    </w:p>
    <w:p w:rsidR="008F18B8" w:rsidRDefault="008F18B8" w:rsidP="004C6C2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565334" w:rsidRPr="008F18B8" w:rsidRDefault="00C509EA" w:rsidP="008F18B8">
      <w:pPr>
        <w:pStyle w:val="ListParagraph"/>
        <w:numPr>
          <w:ilvl w:val="0"/>
          <w:numId w:val="18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8F18B8">
        <w:rPr>
          <w:rFonts w:ascii="Arial" w:hAnsi="Arial" w:cs="Arial"/>
          <w:b/>
          <w:sz w:val="24"/>
          <w:szCs w:val="24"/>
        </w:rPr>
        <w:t>TRENUTNO STANJE U DOMENU TRANSPARENTNOSTI</w:t>
      </w:r>
    </w:p>
    <w:p w:rsidR="00ED10DF" w:rsidRPr="00D83E8C" w:rsidRDefault="00ED10DF" w:rsidP="004C6C2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401FF">
        <w:rPr>
          <w:rFonts w:ascii="Arial" w:hAnsi="Arial" w:cs="Arial"/>
          <w:sz w:val="24"/>
          <w:szCs w:val="24"/>
        </w:rPr>
        <w:t xml:space="preserve">Sud BiH je pravila transparentnosti utvrdio 2014. godine </w:t>
      </w:r>
      <w:r w:rsidR="001B0AC0" w:rsidRPr="009401FF">
        <w:rPr>
          <w:rFonts w:ascii="Arial" w:hAnsi="Arial" w:cs="Arial"/>
          <w:sz w:val="24"/>
          <w:szCs w:val="24"/>
        </w:rPr>
        <w:t xml:space="preserve">donošenjem i </w:t>
      </w:r>
      <w:r w:rsidRPr="009401FF">
        <w:rPr>
          <w:rFonts w:ascii="Arial" w:hAnsi="Arial" w:cs="Arial"/>
          <w:sz w:val="24"/>
          <w:szCs w:val="24"/>
        </w:rPr>
        <w:t>objavljivanjem Pravilnika o ostvarivanju pristupa informacijama pod kontrolom Suda BiH i saradnji Suda sa zajednicom</w:t>
      </w:r>
      <w:r w:rsidR="00D83E8C" w:rsidRPr="00E971D2">
        <w:rPr>
          <w:rFonts w:ascii="Arial" w:hAnsi="Arial" w:cs="Arial"/>
          <w:sz w:val="24"/>
          <w:szCs w:val="24"/>
        </w:rPr>
        <w:t>.</w:t>
      </w:r>
    </w:p>
    <w:p w:rsidR="00106A94" w:rsidRDefault="0084493A" w:rsidP="004C6C2F">
      <w:pPr>
        <w:spacing w:line="360" w:lineRule="auto"/>
        <w:jc w:val="both"/>
        <w:rPr>
          <w:rStyle w:val="Hyperlink"/>
          <w:rFonts w:ascii="Arial" w:hAnsi="Arial" w:cs="Arial"/>
          <w:color w:val="auto"/>
          <w:sz w:val="24"/>
          <w:szCs w:val="24"/>
        </w:rPr>
      </w:pPr>
      <w:r w:rsidRPr="00C509EA">
        <w:rPr>
          <w:rFonts w:ascii="Arial" w:hAnsi="Arial" w:cs="Arial"/>
          <w:sz w:val="24"/>
          <w:szCs w:val="24"/>
        </w:rPr>
        <w:t>Indeks transparentnosti pravosuđa rezultat je istraživanja Transparency Internationala u BiH i BIRN-a BiH na osnovu odgovora pravosudnih institucija te podataka koje objavljuju na svojim internet stranicama. Sudovi i tužilaštva rangirani su ocjenama za transparentnost na osnovu posebno razvijene</w:t>
      </w:r>
      <w:r w:rsidR="00C509EA" w:rsidRPr="00C509EA">
        <w:rPr>
          <w:rFonts w:ascii="Arial" w:hAnsi="Arial" w:cs="Arial"/>
          <w:sz w:val="24"/>
          <w:szCs w:val="24"/>
        </w:rPr>
        <w:t xml:space="preserve"> metodologije. Prema navedenom I</w:t>
      </w:r>
      <w:r w:rsidRPr="00C509EA">
        <w:rPr>
          <w:rFonts w:ascii="Arial" w:hAnsi="Arial" w:cs="Arial"/>
          <w:sz w:val="24"/>
          <w:szCs w:val="24"/>
        </w:rPr>
        <w:t>ndeksu, Sud BiH zauzima drugo mjesto</w:t>
      </w:r>
      <w:r w:rsidR="003B40C2">
        <w:rPr>
          <w:rFonts w:ascii="Arial" w:hAnsi="Arial" w:cs="Arial"/>
          <w:sz w:val="24"/>
          <w:szCs w:val="24"/>
        </w:rPr>
        <w:t xml:space="preserve"> </w:t>
      </w:r>
      <w:r w:rsidRPr="00C509EA">
        <w:rPr>
          <w:rFonts w:ascii="Arial" w:hAnsi="Arial" w:cs="Arial"/>
          <w:sz w:val="24"/>
          <w:szCs w:val="24"/>
        </w:rPr>
        <w:t>u ukupnom poretku svih sudova u Bosni i Hercegovini.</w:t>
      </w:r>
      <w:r w:rsidR="00D83E8C">
        <w:rPr>
          <w:rStyle w:val="FootnoteReference"/>
          <w:rFonts w:ascii="Arial" w:hAnsi="Arial" w:cs="Arial"/>
          <w:sz w:val="24"/>
          <w:szCs w:val="24"/>
        </w:rPr>
        <w:footnoteReference w:id="1"/>
      </w:r>
    </w:p>
    <w:p w:rsidR="00C75F27" w:rsidRPr="00C509EA" w:rsidRDefault="00C75F27" w:rsidP="004C6C2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509EA">
        <w:rPr>
          <w:rFonts w:ascii="Arial" w:hAnsi="Arial" w:cs="Arial"/>
          <w:sz w:val="24"/>
          <w:szCs w:val="24"/>
        </w:rPr>
        <w:t xml:space="preserve">U Analitikinom istraživanju Transparentnost pravosuđa u Bosni i Hercegovini u domenu procesuiranja koruptivnih krivičnih djela, rad Suda BiH je ocijenjen kao </w:t>
      </w:r>
      <w:r w:rsidR="00D83E8C">
        <w:rPr>
          <w:rFonts w:ascii="Arial" w:hAnsi="Arial" w:cs="Arial"/>
          <w:sz w:val="24"/>
          <w:szCs w:val="24"/>
        </w:rPr>
        <w:t>dobar primjer transparentnosti.</w:t>
      </w:r>
      <w:r w:rsidR="00D83E8C">
        <w:rPr>
          <w:rStyle w:val="FootnoteReference"/>
          <w:rFonts w:ascii="Arial" w:hAnsi="Arial" w:cs="Arial"/>
          <w:sz w:val="24"/>
          <w:szCs w:val="24"/>
        </w:rPr>
        <w:footnoteReference w:id="2"/>
      </w:r>
    </w:p>
    <w:p w:rsidR="00565334" w:rsidRDefault="00312C8B" w:rsidP="004C6C2F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12C8B">
        <w:rPr>
          <w:rFonts w:ascii="Arial" w:hAnsi="Arial" w:cs="Arial"/>
          <w:sz w:val="24"/>
          <w:szCs w:val="24"/>
        </w:rPr>
        <w:t xml:space="preserve">AIRE centar je u Izvještaju o provedenom ispitivanju stavova novinara o komunikacijskoj praksi Suda Bosne i Hercegovine 2022. godine objavio da se </w:t>
      </w:r>
      <w:r w:rsidRPr="00312C8B">
        <w:rPr>
          <w:rFonts w:ascii="Arial" w:hAnsi="Arial" w:cs="Arial"/>
          <w:color w:val="000000" w:themeColor="text1"/>
          <w:sz w:val="24"/>
          <w:szCs w:val="24"/>
        </w:rPr>
        <w:t>stanje u oblasti transparentnosti pravosudnih institucija nerijetko ocjenjuje nezadovoljavajućim, pojedini sudovi i tužilaštva ipak imaju znatno naprednije komunikacije prakse. Sud Bosne i Hercegovine su u Izvještaju nave</w:t>
      </w:r>
      <w:r w:rsidR="00F87486">
        <w:rPr>
          <w:rFonts w:ascii="Arial" w:hAnsi="Arial" w:cs="Arial"/>
          <w:color w:val="000000" w:themeColor="text1"/>
          <w:sz w:val="24"/>
          <w:szCs w:val="24"/>
        </w:rPr>
        <w:t>den</w:t>
      </w:r>
      <w:r w:rsidRPr="00312C8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87486">
        <w:rPr>
          <w:rFonts w:ascii="Arial" w:hAnsi="Arial" w:cs="Arial"/>
          <w:color w:val="000000" w:themeColor="text1"/>
          <w:sz w:val="24"/>
          <w:szCs w:val="24"/>
        </w:rPr>
        <w:t>pravosudnom institucijom</w:t>
      </w:r>
      <w:r w:rsidRPr="00312C8B">
        <w:rPr>
          <w:rFonts w:ascii="Arial" w:hAnsi="Arial" w:cs="Arial"/>
          <w:color w:val="000000" w:themeColor="text1"/>
          <w:sz w:val="24"/>
          <w:szCs w:val="24"/>
        </w:rPr>
        <w:t xml:space="preserve"> koja predstavlja pozitivan primjer u oblasti transparentnosti, a</w:t>
      </w:r>
      <w:r w:rsidR="004D55D0">
        <w:rPr>
          <w:rFonts w:ascii="Arial" w:hAnsi="Arial" w:cs="Arial"/>
          <w:color w:val="000000" w:themeColor="text1"/>
          <w:sz w:val="24"/>
          <w:szCs w:val="24"/>
        </w:rPr>
        <w:t xml:space="preserve"> novinari </w:t>
      </w:r>
      <w:r w:rsidRPr="00312C8B">
        <w:rPr>
          <w:rFonts w:ascii="Arial" w:hAnsi="Arial" w:cs="Arial"/>
          <w:color w:val="000000" w:themeColor="text1"/>
          <w:sz w:val="24"/>
          <w:szCs w:val="24"/>
        </w:rPr>
        <w:t xml:space="preserve">navode da komunikacijska praksa Suda BiH treba biti vodilja drugim sudovima u oblasti unapređenja odnosa s javnošću i medijima. </w:t>
      </w:r>
    </w:p>
    <w:p w:rsidR="006F02F2" w:rsidRPr="004C6C2F" w:rsidRDefault="006F02F2" w:rsidP="004C6C2F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C54F7C" w:rsidRPr="00F87486" w:rsidRDefault="00C509EA" w:rsidP="008F18B8">
      <w:pPr>
        <w:pStyle w:val="Heading1"/>
        <w:numPr>
          <w:ilvl w:val="0"/>
          <w:numId w:val="18"/>
        </w:numPr>
        <w:spacing w:line="360" w:lineRule="auto"/>
      </w:pPr>
      <w:bookmarkStart w:id="2" w:name="_Toc154667797"/>
      <w:r w:rsidRPr="00EE53F7">
        <w:t>STRATEŠKI PLAN</w:t>
      </w:r>
      <w:bookmarkEnd w:id="2"/>
    </w:p>
    <w:p w:rsidR="0092240B" w:rsidRPr="00414002" w:rsidRDefault="00414002" w:rsidP="004C6C2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14002">
        <w:rPr>
          <w:rFonts w:ascii="Arial" w:hAnsi="Arial" w:cs="Arial"/>
          <w:sz w:val="24"/>
          <w:szCs w:val="24"/>
        </w:rPr>
        <w:t>Strateški komunikacijski plan Suda BiH je postizanje pune transparentnosti, populariziranje rada i jačanja ugleda Suda Bi</w:t>
      </w:r>
      <w:r w:rsidR="00DF0554">
        <w:rPr>
          <w:rFonts w:ascii="Arial" w:hAnsi="Arial" w:cs="Arial"/>
          <w:sz w:val="24"/>
          <w:szCs w:val="24"/>
        </w:rPr>
        <w:t>H, unapređenje eksterne i inter</w:t>
      </w:r>
      <w:r w:rsidRPr="00414002">
        <w:rPr>
          <w:rFonts w:ascii="Arial" w:hAnsi="Arial" w:cs="Arial"/>
          <w:sz w:val="24"/>
          <w:szCs w:val="24"/>
        </w:rPr>
        <w:t xml:space="preserve">ne komunikacije. </w:t>
      </w:r>
    </w:p>
    <w:p w:rsidR="00414002" w:rsidRPr="00414002" w:rsidRDefault="00414002" w:rsidP="004C6C2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14002">
        <w:rPr>
          <w:rFonts w:ascii="Arial" w:hAnsi="Arial" w:cs="Arial"/>
          <w:sz w:val="24"/>
          <w:szCs w:val="24"/>
        </w:rPr>
        <w:t>Strateški ciljevi i zadaci: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7105"/>
      </w:tblGrid>
      <w:tr w:rsidR="0092240B" w:rsidTr="00F671E9">
        <w:tc>
          <w:tcPr>
            <w:tcW w:w="2245" w:type="dxa"/>
            <w:shd w:val="clear" w:color="auto" w:fill="BDD6EE" w:themeFill="accent1" w:themeFillTint="66"/>
          </w:tcPr>
          <w:p w:rsidR="0092240B" w:rsidRPr="00F671E9" w:rsidRDefault="00CC1B22" w:rsidP="004C6C2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Strateški cilj 1</w:t>
            </w:r>
            <w:r w:rsidR="00F671E9" w:rsidRPr="00F671E9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7105" w:type="dxa"/>
            <w:shd w:val="clear" w:color="auto" w:fill="BDD6EE" w:themeFill="accent1" w:themeFillTint="66"/>
          </w:tcPr>
          <w:p w:rsidR="0092240B" w:rsidRPr="00F671E9" w:rsidRDefault="00F87486" w:rsidP="004C6C2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Jačati</w:t>
            </w:r>
            <w:r w:rsidR="00F671E9">
              <w:rPr>
                <w:rFonts w:ascii="Arial" w:hAnsi="Arial" w:cs="Arial"/>
                <w:sz w:val="24"/>
                <w:szCs w:val="24"/>
              </w:rPr>
              <w:t xml:space="preserve"> komunikaciju s medijima i javnošću, a sve u cilju povećanja transparentnosti Suda BiH</w:t>
            </w:r>
          </w:p>
        </w:tc>
      </w:tr>
      <w:tr w:rsidR="0092240B" w:rsidTr="00F671E9">
        <w:tc>
          <w:tcPr>
            <w:tcW w:w="2245" w:type="dxa"/>
          </w:tcPr>
          <w:p w:rsidR="0092240B" w:rsidRPr="00F671E9" w:rsidRDefault="00F671E9" w:rsidP="004C6C2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Strateški zadatak</w:t>
            </w:r>
          </w:p>
        </w:tc>
        <w:tc>
          <w:tcPr>
            <w:tcW w:w="7105" w:type="dxa"/>
          </w:tcPr>
          <w:p w:rsidR="002377DD" w:rsidRPr="002A4A35" w:rsidRDefault="002377DD" w:rsidP="004C6C2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A4A35">
              <w:rPr>
                <w:rFonts w:ascii="Arial" w:hAnsi="Arial" w:cs="Arial"/>
                <w:sz w:val="24"/>
                <w:szCs w:val="24"/>
              </w:rPr>
              <w:t>Unaprijediti objavu informacija na web-stranici</w:t>
            </w:r>
            <w:r w:rsidR="00CA4ED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257B4">
              <w:rPr>
                <w:rFonts w:ascii="Arial" w:hAnsi="Arial" w:cs="Arial"/>
                <w:sz w:val="24"/>
                <w:szCs w:val="24"/>
              </w:rPr>
              <w:t>o radu Suda BiH:</w:t>
            </w:r>
          </w:p>
          <w:p w:rsidR="00BE3142" w:rsidRPr="00713A0C" w:rsidRDefault="002377DD" w:rsidP="004C6C2F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3A0C">
              <w:rPr>
                <w:rFonts w:ascii="Arial" w:hAnsi="Arial" w:cs="Arial"/>
                <w:sz w:val="24"/>
                <w:szCs w:val="24"/>
              </w:rPr>
              <w:t>re</w:t>
            </w:r>
            <w:r w:rsidR="00BE3142" w:rsidRPr="00713A0C">
              <w:rPr>
                <w:rFonts w:ascii="Arial" w:hAnsi="Arial" w:cs="Arial"/>
                <w:sz w:val="24"/>
                <w:szCs w:val="24"/>
              </w:rPr>
              <w:t>levantne podatke iz godišnjeg izvještaja Suda BiH;</w:t>
            </w:r>
          </w:p>
          <w:p w:rsidR="002377DD" w:rsidRPr="00713A0C" w:rsidRDefault="002377DD" w:rsidP="004C6C2F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3A0C">
              <w:rPr>
                <w:rFonts w:ascii="Arial" w:hAnsi="Arial" w:cs="Arial"/>
                <w:sz w:val="24"/>
                <w:szCs w:val="24"/>
              </w:rPr>
              <w:t xml:space="preserve">redovno ažurirati </w:t>
            </w:r>
            <w:r w:rsidR="00DF0554" w:rsidRPr="00713A0C">
              <w:rPr>
                <w:rFonts w:ascii="Arial" w:hAnsi="Arial" w:cs="Arial"/>
                <w:sz w:val="24"/>
                <w:szCs w:val="24"/>
              </w:rPr>
              <w:t xml:space="preserve">plan javnih nabavki i </w:t>
            </w:r>
            <w:r w:rsidRPr="00713A0C">
              <w:rPr>
                <w:rFonts w:ascii="Arial" w:hAnsi="Arial" w:cs="Arial"/>
                <w:sz w:val="24"/>
                <w:szCs w:val="24"/>
              </w:rPr>
              <w:t>pozive za javne nabavke</w:t>
            </w:r>
          </w:p>
          <w:p w:rsidR="002B3637" w:rsidRPr="00713A0C" w:rsidRDefault="00DF0554" w:rsidP="004C6C2F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3A0C">
              <w:rPr>
                <w:rFonts w:ascii="Arial" w:hAnsi="Arial" w:cs="Arial"/>
                <w:sz w:val="24"/>
                <w:szCs w:val="24"/>
              </w:rPr>
              <w:t>informacije o organizac</w:t>
            </w:r>
            <w:r w:rsidR="00603CBB" w:rsidRPr="00713A0C">
              <w:rPr>
                <w:rFonts w:ascii="Arial" w:hAnsi="Arial" w:cs="Arial"/>
                <w:sz w:val="24"/>
                <w:szCs w:val="24"/>
              </w:rPr>
              <w:t>ijskoj</w:t>
            </w:r>
            <w:r w:rsidRPr="00713A0C">
              <w:rPr>
                <w:rFonts w:ascii="Arial" w:hAnsi="Arial" w:cs="Arial"/>
                <w:sz w:val="24"/>
                <w:szCs w:val="24"/>
              </w:rPr>
              <w:t xml:space="preserve"> strukturi </w:t>
            </w:r>
            <w:r w:rsidR="00603CBB" w:rsidRPr="00713A0C">
              <w:rPr>
                <w:rFonts w:ascii="Arial" w:hAnsi="Arial" w:cs="Arial"/>
                <w:sz w:val="24"/>
                <w:szCs w:val="24"/>
              </w:rPr>
              <w:t>S</w:t>
            </w:r>
            <w:r w:rsidRPr="00713A0C">
              <w:rPr>
                <w:rFonts w:ascii="Arial" w:hAnsi="Arial" w:cs="Arial"/>
                <w:sz w:val="24"/>
                <w:szCs w:val="24"/>
              </w:rPr>
              <w:t>uda i njihovoj nadležnosti</w:t>
            </w:r>
            <w:r w:rsidR="00F3215F" w:rsidRPr="00713A0C">
              <w:rPr>
                <w:rFonts w:ascii="Arial" w:hAnsi="Arial" w:cs="Arial"/>
                <w:sz w:val="24"/>
                <w:szCs w:val="24"/>
              </w:rPr>
              <w:t>, statist</w:t>
            </w:r>
            <w:r w:rsidR="002B3637" w:rsidRPr="00713A0C">
              <w:rPr>
                <w:rFonts w:ascii="Arial" w:hAnsi="Arial" w:cs="Arial"/>
                <w:sz w:val="24"/>
                <w:szCs w:val="24"/>
              </w:rPr>
              <w:t>ističke podatke,</w:t>
            </w:r>
            <w:r w:rsidR="00F3215F" w:rsidRPr="00713A0C">
              <w:rPr>
                <w:rFonts w:ascii="Arial" w:hAnsi="Arial" w:cs="Arial"/>
                <w:sz w:val="24"/>
                <w:szCs w:val="24"/>
              </w:rPr>
              <w:t xml:space="preserve"> inform</w:t>
            </w:r>
            <w:r w:rsidR="002B3637" w:rsidRPr="00713A0C">
              <w:rPr>
                <w:rFonts w:ascii="Arial" w:hAnsi="Arial" w:cs="Arial"/>
                <w:sz w:val="24"/>
                <w:szCs w:val="24"/>
              </w:rPr>
              <w:t xml:space="preserve">acije korisne za </w:t>
            </w:r>
            <w:r w:rsidR="00BE3142" w:rsidRPr="00713A0C">
              <w:rPr>
                <w:rFonts w:ascii="Arial" w:hAnsi="Arial" w:cs="Arial"/>
                <w:sz w:val="24"/>
                <w:szCs w:val="24"/>
              </w:rPr>
              <w:t xml:space="preserve">građane  </w:t>
            </w:r>
            <w:r w:rsidR="002B3637" w:rsidRPr="00713A0C">
              <w:rPr>
                <w:rFonts w:ascii="Arial" w:hAnsi="Arial" w:cs="Arial"/>
                <w:sz w:val="24"/>
                <w:szCs w:val="24"/>
              </w:rPr>
              <w:t>u cilju ostvarivanja njihovih prava;</w:t>
            </w:r>
          </w:p>
          <w:p w:rsidR="00F3215F" w:rsidRPr="00713A0C" w:rsidRDefault="002A4A35" w:rsidP="004C6C2F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3A0C">
              <w:rPr>
                <w:rFonts w:ascii="Arial" w:hAnsi="Arial" w:cs="Arial"/>
                <w:sz w:val="24"/>
                <w:szCs w:val="24"/>
              </w:rPr>
              <w:t>informacije o radu, kao što su: politike i aktivnosti;</w:t>
            </w:r>
          </w:p>
          <w:p w:rsidR="002A4A35" w:rsidRPr="00713A0C" w:rsidRDefault="002A4A35" w:rsidP="004C6C2F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3A0C">
              <w:rPr>
                <w:rFonts w:ascii="Arial" w:hAnsi="Arial" w:cs="Arial"/>
                <w:sz w:val="24"/>
                <w:szCs w:val="24"/>
              </w:rPr>
              <w:t>odluke i akte</w:t>
            </w:r>
            <w:r w:rsidR="00DF0554" w:rsidRPr="00713A0C">
              <w:rPr>
                <w:rFonts w:ascii="Arial" w:hAnsi="Arial" w:cs="Arial"/>
                <w:sz w:val="24"/>
                <w:szCs w:val="24"/>
              </w:rPr>
              <w:t xml:space="preserve"> Suda</w:t>
            </w:r>
            <w:r w:rsidR="002B3637" w:rsidRPr="00713A0C">
              <w:rPr>
                <w:rFonts w:ascii="Arial" w:hAnsi="Arial" w:cs="Arial"/>
                <w:sz w:val="24"/>
                <w:szCs w:val="24"/>
              </w:rPr>
              <w:t xml:space="preserve"> BiH</w:t>
            </w:r>
            <w:r w:rsidR="00DF0554" w:rsidRPr="00713A0C">
              <w:rPr>
                <w:rFonts w:ascii="Arial" w:hAnsi="Arial" w:cs="Arial"/>
                <w:sz w:val="24"/>
                <w:szCs w:val="24"/>
              </w:rPr>
              <w:t xml:space="preserve">, a koje utječu na interese </w:t>
            </w:r>
            <w:r w:rsidR="00BE3142">
              <w:rPr>
                <w:rFonts w:ascii="Arial" w:hAnsi="Arial" w:cs="Arial"/>
                <w:sz w:val="24"/>
                <w:szCs w:val="24"/>
              </w:rPr>
              <w:t>građana</w:t>
            </w:r>
            <w:r w:rsidR="00DF0554" w:rsidRPr="00713A0C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2A4A35" w:rsidRPr="00713A0C" w:rsidRDefault="002A4A35" w:rsidP="004C6C2F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3A0C">
              <w:rPr>
                <w:rFonts w:ascii="Arial" w:hAnsi="Arial" w:cs="Arial"/>
                <w:sz w:val="24"/>
                <w:szCs w:val="24"/>
              </w:rPr>
              <w:t>informacije o finansiranju, kao što su: izvještaj o prihodima i rashodima,  evaluacija</w:t>
            </w:r>
            <w:r w:rsidR="00CA4ED1">
              <w:rPr>
                <w:rFonts w:ascii="Arial" w:hAnsi="Arial" w:cs="Arial"/>
                <w:sz w:val="24"/>
                <w:szCs w:val="24"/>
              </w:rPr>
              <w:t>ma</w:t>
            </w:r>
            <w:r w:rsidRPr="00713A0C">
              <w:rPr>
                <w:rFonts w:ascii="Arial" w:hAnsi="Arial" w:cs="Arial"/>
                <w:sz w:val="24"/>
                <w:szCs w:val="24"/>
              </w:rPr>
              <w:t xml:space="preserve"> i druge finansijske informacije;</w:t>
            </w:r>
          </w:p>
          <w:p w:rsidR="002A4A35" w:rsidRPr="00713A0C" w:rsidRDefault="002A4A35" w:rsidP="004C6C2F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3A0C">
              <w:rPr>
                <w:rFonts w:ascii="Arial" w:hAnsi="Arial" w:cs="Arial"/>
                <w:sz w:val="24"/>
                <w:szCs w:val="24"/>
              </w:rPr>
              <w:t>informacije o javnim konkursima</w:t>
            </w:r>
            <w:r w:rsidR="00F3215F" w:rsidRPr="00713A0C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CA4ED1" w:rsidRDefault="002A4A35" w:rsidP="004C6C2F">
            <w:pPr>
              <w:spacing w:line="360" w:lineRule="auto"/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3A0C">
              <w:rPr>
                <w:rFonts w:ascii="Arial" w:hAnsi="Arial" w:cs="Arial"/>
                <w:sz w:val="24"/>
                <w:szCs w:val="24"/>
              </w:rPr>
              <w:t>-</w:t>
            </w:r>
            <w:r w:rsidRPr="00713A0C">
              <w:rPr>
                <w:rFonts w:ascii="Arial" w:hAnsi="Arial" w:cs="Arial"/>
                <w:sz w:val="24"/>
                <w:szCs w:val="24"/>
              </w:rPr>
              <w:tab/>
              <w:t>informacije o registrima, bazama i popisima koje institucija BiH vodi, način pristupa (internetom ili na drugi način), odnosno poveznicama na one kojima se može pristupiti internetom</w:t>
            </w:r>
            <w:r w:rsidR="00BE3142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CA4ED1" w:rsidRPr="00713A0C" w:rsidRDefault="00CA4ED1" w:rsidP="004C6C2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A4A35">
              <w:rPr>
                <w:rFonts w:ascii="Arial" w:hAnsi="Arial" w:cs="Arial"/>
                <w:sz w:val="24"/>
                <w:szCs w:val="24"/>
              </w:rPr>
              <w:t>Unaprijediti proaktivnu objavu informacija na web-stranici Suda, sa posebnim akcentom na predmete od javnog interesa</w:t>
            </w:r>
            <w:r w:rsidR="001257B4">
              <w:rPr>
                <w:rFonts w:ascii="Arial" w:hAnsi="Arial" w:cs="Arial"/>
                <w:sz w:val="24"/>
                <w:szCs w:val="24"/>
              </w:rPr>
              <w:t>, uključujući sudsku praksu</w:t>
            </w:r>
            <w:r w:rsidR="00E87AB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87ABF" w:rsidRPr="002F76FC">
              <w:rPr>
                <w:rFonts w:ascii="Arial" w:hAnsi="Arial" w:cs="Arial"/>
                <w:sz w:val="24"/>
                <w:szCs w:val="24"/>
              </w:rPr>
              <w:t>prateći uputstva i smjernice VSTV-a BiH  koji se odnose na ovu oblast.</w:t>
            </w:r>
          </w:p>
        </w:tc>
      </w:tr>
      <w:tr w:rsidR="0092240B" w:rsidTr="00F671E9">
        <w:tc>
          <w:tcPr>
            <w:tcW w:w="2245" w:type="dxa"/>
            <w:shd w:val="clear" w:color="auto" w:fill="BDD6EE" w:themeFill="accent1" w:themeFillTint="66"/>
          </w:tcPr>
          <w:p w:rsidR="0092240B" w:rsidRPr="00F671E9" w:rsidRDefault="009555AA" w:rsidP="004C6C2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Strateški cilj 2</w:t>
            </w:r>
            <w:r w:rsidR="00F671E9" w:rsidRPr="00F671E9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7105" w:type="dxa"/>
            <w:shd w:val="clear" w:color="auto" w:fill="BDD6EE" w:themeFill="accent1" w:themeFillTint="66"/>
          </w:tcPr>
          <w:p w:rsidR="0092240B" w:rsidRPr="00F671E9" w:rsidRDefault="002377DD" w:rsidP="00730A88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Obezbijediti mehanizme za </w:t>
            </w:r>
            <w:r w:rsidR="00CC1B22">
              <w:rPr>
                <w:rFonts w:ascii="Arial" w:hAnsi="Arial" w:cs="Arial"/>
                <w:sz w:val="24"/>
                <w:szCs w:val="24"/>
              </w:rPr>
              <w:t>prepoznavanje krizne situacije,</w:t>
            </w:r>
            <w:r>
              <w:rPr>
                <w:rFonts w:ascii="Arial" w:hAnsi="Arial" w:cs="Arial"/>
                <w:sz w:val="24"/>
                <w:szCs w:val="24"/>
              </w:rPr>
              <w:t xml:space="preserve"> pravovremeno odreagovati u slučaju potrebe</w:t>
            </w:r>
            <w:r w:rsidR="00CC1B22">
              <w:rPr>
                <w:rFonts w:ascii="Arial" w:hAnsi="Arial" w:cs="Arial"/>
                <w:sz w:val="24"/>
                <w:szCs w:val="24"/>
              </w:rPr>
              <w:t xml:space="preserve"> i </w:t>
            </w:r>
            <w:r w:rsidR="00730A88">
              <w:rPr>
                <w:rFonts w:ascii="Arial" w:hAnsi="Arial" w:cs="Arial"/>
                <w:sz w:val="24"/>
                <w:szCs w:val="24"/>
              </w:rPr>
              <w:t xml:space="preserve">obezbjediti pravovremenu provedbu strategije </w:t>
            </w:r>
            <w:r w:rsidR="00CC1B22">
              <w:rPr>
                <w:rFonts w:ascii="Arial" w:hAnsi="Arial" w:cs="Arial"/>
                <w:sz w:val="24"/>
                <w:szCs w:val="24"/>
              </w:rPr>
              <w:t>kriznog komuniciranja</w:t>
            </w:r>
            <w:r w:rsidR="00730A88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92240B" w:rsidTr="00F671E9">
        <w:tc>
          <w:tcPr>
            <w:tcW w:w="2245" w:type="dxa"/>
          </w:tcPr>
          <w:p w:rsidR="0092240B" w:rsidRPr="00F671E9" w:rsidRDefault="00F671E9" w:rsidP="004C6C2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Strateški zadatak</w:t>
            </w:r>
          </w:p>
        </w:tc>
        <w:tc>
          <w:tcPr>
            <w:tcW w:w="7105" w:type="dxa"/>
          </w:tcPr>
          <w:p w:rsidR="0092240B" w:rsidRPr="00F671E9" w:rsidRDefault="002377DD" w:rsidP="004C6C2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Redovno pratiti stav javnosti o radu Suda, sudija, stručnog osoblja i odlukama Suda</w:t>
            </w:r>
            <w:r w:rsidR="00CC1B22">
              <w:rPr>
                <w:rFonts w:ascii="Arial" w:hAnsi="Arial" w:cs="Arial"/>
                <w:sz w:val="24"/>
                <w:szCs w:val="24"/>
              </w:rPr>
              <w:t>, izraditi detaljan plan kriznog komuniciranja i imenovati članove kriznog tima</w:t>
            </w:r>
          </w:p>
        </w:tc>
      </w:tr>
    </w:tbl>
    <w:p w:rsidR="00F40EFB" w:rsidRDefault="00F40EFB" w:rsidP="007E5992"/>
    <w:p w:rsidR="00F40EFB" w:rsidRPr="00F40EFB" w:rsidRDefault="00F40EFB" w:rsidP="007E5992"/>
    <w:p w:rsidR="00C509EA" w:rsidRPr="00EE53F7" w:rsidRDefault="00C509EA" w:rsidP="008F18B8">
      <w:pPr>
        <w:pStyle w:val="Heading1"/>
        <w:numPr>
          <w:ilvl w:val="0"/>
          <w:numId w:val="18"/>
        </w:numPr>
        <w:spacing w:line="360" w:lineRule="auto"/>
      </w:pPr>
      <w:bookmarkStart w:id="3" w:name="_Toc154667798"/>
      <w:r w:rsidRPr="00EE53F7">
        <w:t>PRIMARNI FOKUS</w:t>
      </w:r>
      <w:bookmarkEnd w:id="3"/>
    </w:p>
    <w:p w:rsidR="00B90E4A" w:rsidRDefault="00AF6217" w:rsidP="004C6C2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509EA">
        <w:rPr>
          <w:rFonts w:ascii="Arial" w:hAnsi="Arial" w:cs="Arial"/>
          <w:sz w:val="24"/>
          <w:szCs w:val="24"/>
        </w:rPr>
        <w:t xml:space="preserve">Prepoznavanje ciljne grupe s kojom se komunicira je važan uslov za uspješnu komunikaciju i bolju transparentnost. Ciljne skupine </w:t>
      </w:r>
      <w:r w:rsidR="001A7A51" w:rsidRPr="00C509EA">
        <w:rPr>
          <w:rFonts w:ascii="Arial" w:hAnsi="Arial" w:cs="Arial"/>
          <w:sz w:val="24"/>
          <w:szCs w:val="24"/>
        </w:rPr>
        <w:t>su</w:t>
      </w:r>
      <w:r w:rsidR="00353A85" w:rsidRPr="00C509EA">
        <w:rPr>
          <w:rFonts w:ascii="Arial" w:hAnsi="Arial" w:cs="Arial"/>
          <w:sz w:val="24"/>
          <w:szCs w:val="24"/>
        </w:rPr>
        <w:t>, između ostalih</w:t>
      </w:r>
      <w:r w:rsidR="001A7A51" w:rsidRPr="00C509EA">
        <w:rPr>
          <w:rFonts w:ascii="Arial" w:hAnsi="Arial" w:cs="Arial"/>
          <w:sz w:val="24"/>
          <w:szCs w:val="24"/>
        </w:rPr>
        <w:t>:</w:t>
      </w:r>
    </w:p>
    <w:p w:rsidR="009E255E" w:rsidRPr="008F18B8" w:rsidRDefault="009E255E" w:rsidP="008F18B8">
      <w:pPr>
        <w:pStyle w:val="ListParagraph"/>
        <w:numPr>
          <w:ilvl w:val="1"/>
          <w:numId w:val="19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8F18B8">
        <w:rPr>
          <w:rFonts w:ascii="Arial" w:hAnsi="Arial" w:cs="Arial"/>
          <w:b/>
          <w:sz w:val="24"/>
          <w:szCs w:val="24"/>
        </w:rPr>
        <w:t xml:space="preserve">Građani </w:t>
      </w:r>
    </w:p>
    <w:p w:rsidR="009E255E" w:rsidRDefault="00514541" w:rsidP="0051454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Građani predstavljaju najznačajniji fokus Suda u provođenju komunikacije, kao najobimnija i najvažnija ciljna grupa</w:t>
      </w:r>
      <w:r w:rsidR="00DE2DCC">
        <w:rPr>
          <w:rFonts w:ascii="Arial" w:hAnsi="Arial" w:cs="Arial"/>
          <w:sz w:val="24"/>
          <w:szCs w:val="24"/>
        </w:rPr>
        <w:t xml:space="preserve"> i iz tog razloga je u ovom odjeljku pozicionirana na prvo mjesto</w:t>
      </w:r>
      <w:r>
        <w:rPr>
          <w:rFonts w:ascii="Arial" w:hAnsi="Arial" w:cs="Arial"/>
          <w:sz w:val="24"/>
          <w:szCs w:val="24"/>
        </w:rPr>
        <w:t>. Građani u d</w:t>
      </w:r>
      <w:r w:rsidR="00DE2DCC">
        <w:rPr>
          <w:rFonts w:ascii="Arial" w:hAnsi="Arial" w:cs="Arial"/>
          <w:sz w:val="24"/>
          <w:szCs w:val="24"/>
        </w:rPr>
        <w:t xml:space="preserve">emokratskom društvu imaju pravo na nezavisan, odgovoran, učinkovit i profesionalan pravni sistem, a Sud će putem komunikacijskih alata nastojati osigurati transparentnost ove institucije putem kontinuiranog informisanja javnosti, a sve u cilju jačanja povjerenja u njegov rad. Provedba plana kriznog komuniciranja i promptno reagovanje je od izuzetne važnosti za ostvarenje postavljenog cilja. Sud će u komunikaciji s građanima koristiti sljedeće alate: elektronska pošta, pisane pošiljke, </w:t>
      </w:r>
      <w:r w:rsidR="00DE2DCC" w:rsidRPr="009E255E">
        <w:rPr>
          <w:rFonts w:ascii="Arial" w:hAnsi="Arial" w:cs="Arial"/>
          <w:sz w:val="24"/>
          <w:szCs w:val="24"/>
        </w:rPr>
        <w:t>web</w:t>
      </w:r>
      <w:r w:rsidR="00DE2DCC">
        <w:rPr>
          <w:rFonts w:ascii="Arial" w:hAnsi="Arial" w:cs="Arial"/>
          <w:sz w:val="24"/>
          <w:szCs w:val="24"/>
        </w:rPr>
        <w:t>-stranica,</w:t>
      </w:r>
      <w:r w:rsidR="00DE2DCC" w:rsidRPr="009E255E">
        <w:rPr>
          <w:rFonts w:ascii="Arial" w:hAnsi="Arial" w:cs="Arial"/>
          <w:sz w:val="24"/>
          <w:szCs w:val="24"/>
        </w:rPr>
        <w:t xml:space="preserve"> </w:t>
      </w:r>
      <w:r w:rsidR="00DE2DCC">
        <w:rPr>
          <w:rFonts w:ascii="Arial" w:hAnsi="Arial" w:cs="Arial"/>
          <w:sz w:val="24"/>
          <w:szCs w:val="24"/>
        </w:rPr>
        <w:t>e-mail, saopć</w:t>
      </w:r>
      <w:r w:rsidR="00DE2DCC" w:rsidRPr="004C6C2F">
        <w:rPr>
          <w:rFonts w:ascii="Arial" w:hAnsi="Arial" w:cs="Arial"/>
          <w:sz w:val="24"/>
          <w:szCs w:val="24"/>
        </w:rPr>
        <w:t xml:space="preserve">enja za javnost, </w:t>
      </w:r>
      <w:r w:rsidR="00DE2DCC">
        <w:rPr>
          <w:rFonts w:ascii="Arial" w:hAnsi="Arial" w:cs="Arial"/>
          <w:sz w:val="24"/>
          <w:szCs w:val="24"/>
        </w:rPr>
        <w:t xml:space="preserve">sedmični pregledi aktivnosti, izjave, </w:t>
      </w:r>
      <w:r w:rsidR="00DE2DCC" w:rsidRPr="004C6C2F">
        <w:rPr>
          <w:rFonts w:ascii="Arial" w:hAnsi="Arial" w:cs="Arial"/>
          <w:sz w:val="24"/>
          <w:szCs w:val="24"/>
        </w:rPr>
        <w:t>najave</w:t>
      </w:r>
      <w:r w:rsidR="00DE2DCC">
        <w:rPr>
          <w:rFonts w:ascii="Arial" w:hAnsi="Arial" w:cs="Arial"/>
          <w:sz w:val="24"/>
          <w:szCs w:val="24"/>
        </w:rPr>
        <w:t>, posjete i drugo po potrebi.</w:t>
      </w:r>
    </w:p>
    <w:p w:rsidR="00BE35BB" w:rsidRDefault="00BE35BB" w:rsidP="0051454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F18B8" w:rsidRDefault="008F18B8" w:rsidP="0051454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E35BB" w:rsidRPr="00514541" w:rsidRDefault="00BE35BB" w:rsidP="0051454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90E4A" w:rsidRPr="008F18B8" w:rsidRDefault="00B90E4A" w:rsidP="008F18B8">
      <w:pPr>
        <w:pStyle w:val="ListParagraph"/>
        <w:numPr>
          <w:ilvl w:val="1"/>
          <w:numId w:val="19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8F18B8">
        <w:rPr>
          <w:rFonts w:ascii="Arial" w:hAnsi="Arial" w:cs="Arial"/>
          <w:b/>
          <w:sz w:val="24"/>
          <w:szCs w:val="24"/>
        </w:rPr>
        <w:t>Mediji</w:t>
      </w:r>
    </w:p>
    <w:p w:rsidR="00DE2DCC" w:rsidRPr="004C6C2F" w:rsidRDefault="00A31807" w:rsidP="009E255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Temeljna ciljna grupa su novinari koji putem svojih kanala čine dostupnim informacije javnosti</w:t>
      </w:r>
      <w:r w:rsidR="004C6C2F" w:rsidRPr="004C6C2F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S obzirom na to da su m</w:t>
      </w:r>
      <w:r w:rsidR="004C6C2F" w:rsidRPr="004C6C2F">
        <w:rPr>
          <w:rFonts w:ascii="Arial" w:hAnsi="Arial" w:cs="Arial"/>
          <w:sz w:val="24"/>
          <w:szCs w:val="24"/>
        </w:rPr>
        <w:t xml:space="preserve">ediji </w:t>
      </w:r>
      <w:r>
        <w:rPr>
          <w:rFonts w:ascii="Arial" w:hAnsi="Arial" w:cs="Arial"/>
          <w:sz w:val="24"/>
          <w:szCs w:val="24"/>
        </w:rPr>
        <w:t>većinski</w:t>
      </w:r>
      <w:r w:rsidR="004C6C2F" w:rsidRPr="004C6C2F">
        <w:rPr>
          <w:rFonts w:ascii="Arial" w:hAnsi="Arial" w:cs="Arial"/>
          <w:sz w:val="24"/>
          <w:szCs w:val="24"/>
        </w:rPr>
        <w:t xml:space="preserve"> zainteresovani </w:t>
      </w:r>
      <w:r>
        <w:rPr>
          <w:rFonts w:ascii="Arial" w:hAnsi="Arial" w:cs="Arial"/>
          <w:sz w:val="24"/>
          <w:szCs w:val="24"/>
        </w:rPr>
        <w:t>za svakodnevne teme i da su im informacije potrebne u što krać</w:t>
      </w:r>
      <w:r w:rsidR="00DE2DCC">
        <w:rPr>
          <w:rFonts w:ascii="Arial" w:hAnsi="Arial" w:cs="Arial"/>
          <w:sz w:val="24"/>
          <w:szCs w:val="24"/>
        </w:rPr>
        <w:t>em roku,</w:t>
      </w:r>
      <w:r>
        <w:rPr>
          <w:rFonts w:ascii="Arial" w:hAnsi="Arial" w:cs="Arial"/>
          <w:sz w:val="24"/>
          <w:szCs w:val="24"/>
        </w:rPr>
        <w:t xml:space="preserve"> Sud će prema ovoj vrsti javnosti</w:t>
      </w:r>
      <w:r w:rsidR="004C6C2F" w:rsidRPr="004C6C2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koristiti različite komunikacijske alate kao što su: </w:t>
      </w:r>
      <w:r w:rsidR="00DF2004">
        <w:rPr>
          <w:rFonts w:ascii="Arial" w:hAnsi="Arial" w:cs="Arial"/>
          <w:sz w:val="24"/>
          <w:szCs w:val="24"/>
        </w:rPr>
        <w:t>elektro</w:t>
      </w:r>
      <w:r w:rsidR="009E255E">
        <w:rPr>
          <w:rFonts w:ascii="Arial" w:hAnsi="Arial" w:cs="Arial"/>
          <w:sz w:val="24"/>
          <w:szCs w:val="24"/>
        </w:rPr>
        <w:t>n</w:t>
      </w:r>
      <w:r w:rsidR="00DF2004">
        <w:rPr>
          <w:rFonts w:ascii="Arial" w:hAnsi="Arial" w:cs="Arial"/>
          <w:sz w:val="24"/>
          <w:szCs w:val="24"/>
        </w:rPr>
        <w:t xml:space="preserve">ska pošta, </w:t>
      </w:r>
      <w:r>
        <w:rPr>
          <w:rFonts w:ascii="Arial" w:hAnsi="Arial" w:cs="Arial"/>
          <w:sz w:val="24"/>
          <w:szCs w:val="24"/>
        </w:rPr>
        <w:t>saopć</w:t>
      </w:r>
      <w:r w:rsidR="004C6C2F" w:rsidRPr="004C6C2F">
        <w:rPr>
          <w:rFonts w:ascii="Arial" w:hAnsi="Arial" w:cs="Arial"/>
          <w:sz w:val="24"/>
          <w:szCs w:val="24"/>
        </w:rPr>
        <w:t xml:space="preserve">enja za javnost, </w:t>
      </w:r>
      <w:r>
        <w:rPr>
          <w:rFonts w:ascii="Arial" w:hAnsi="Arial" w:cs="Arial"/>
          <w:sz w:val="24"/>
          <w:szCs w:val="24"/>
        </w:rPr>
        <w:t xml:space="preserve">sedmični pregledi aktivnosti, izjave, </w:t>
      </w:r>
      <w:r w:rsidR="004C6C2F" w:rsidRPr="004C6C2F">
        <w:rPr>
          <w:rFonts w:ascii="Arial" w:hAnsi="Arial" w:cs="Arial"/>
          <w:sz w:val="24"/>
          <w:szCs w:val="24"/>
        </w:rPr>
        <w:t>najave</w:t>
      </w:r>
      <w:r w:rsidR="00DF2004">
        <w:rPr>
          <w:rFonts w:ascii="Arial" w:hAnsi="Arial" w:cs="Arial"/>
          <w:sz w:val="24"/>
          <w:szCs w:val="24"/>
        </w:rPr>
        <w:t>, web-stranica</w:t>
      </w:r>
      <w:r w:rsidR="004C6C2F" w:rsidRPr="004C6C2F">
        <w:rPr>
          <w:rFonts w:ascii="Arial" w:hAnsi="Arial" w:cs="Arial"/>
          <w:sz w:val="24"/>
          <w:szCs w:val="24"/>
        </w:rPr>
        <w:t xml:space="preserve"> i dr</w:t>
      </w:r>
      <w:r>
        <w:rPr>
          <w:rFonts w:ascii="Arial" w:hAnsi="Arial" w:cs="Arial"/>
          <w:sz w:val="24"/>
          <w:szCs w:val="24"/>
        </w:rPr>
        <w:t>.</w:t>
      </w:r>
    </w:p>
    <w:p w:rsidR="00353A85" w:rsidRPr="007E5992" w:rsidRDefault="00353A85" w:rsidP="008F18B8">
      <w:pPr>
        <w:pStyle w:val="ListParagraph"/>
        <w:numPr>
          <w:ilvl w:val="1"/>
          <w:numId w:val="19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7E5992">
        <w:rPr>
          <w:rFonts w:ascii="Arial" w:hAnsi="Arial" w:cs="Arial"/>
          <w:b/>
          <w:sz w:val="24"/>
          <w:szCs w:val="24"/>
        </w:rPr>
        <w:t>Državne institucije na svim nivoima</w:t>
      </w:r>
    </w:p>
    <w:p w:rsidR="00F40EFB" w:rsidRPr="00B83420" w:rsidRDefault="003B6822" w:rsidP="009E255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Sud će nastojati osigurati pravovremenu</w:t>
      </w:r>
      <w:r w:rsidR="00B83420">
        <w:rPr>
          <w:rFonts w:ascii="Arial" w:hAnsi="Arial" w:cs="Arial"/>
          <w:sz w:val="24"/>
          <w:szCs w:val="24"/>
        </w:rPr>
        <w:t xml:space="preserve"> komunikacij</w:t>
      </w:r>
      <w:r>
        <w:rPr>
          <w:rFonts w:ascii="Arial" w:hAnsi="Arial" w:cs="Arial"/>
          <w:sz w:val="24"/>
          <w:szCs w:val="24"/>
        </w:rPr>
        <w:t xml:space="preserve">u </w:t>
      </w:r>
      <w:r w:rsidR="00B83420">
        <w:rPr>
          <w:rFonts w:ascii="Arial" w:hAnsi="Arial" w:cs="Arial"/>
          <w:sz w:val="24"/>
          <w:szCs w:val="24"/>
        </w:rPr>
        <w:t>sa državnim institucijama</w:t>
      </w:r>
      <w:r>
        <w:rPr>
          <w:rFonts w:ascii="Arial" w:hAnsi="Arial" w:cs="Arial"/>
          <w:sz w:val="24"/>
          <w:szCs w:val="24"/>
        </w:rPr>
        <w:t xml:space="preserve"> u cilju </w:t>
      </w:r>
      <w:r w:rsidR="00B83420">
        <w:rPr>
          <w:rFonts w:ascii="Arial" w:hAnsi="Arial" w:cs="Arial"/>
          <w:sz w:val="24"/>
          <w:szCs w:val="24"/>
        </w:rPr>
        <w:t>održavanje saradnje</w:t>
      </w:r>
      <w:r w:rsidR="00DF2004">
        <w:rPr>
          <w:rFonts w:ascii="Arial" w:hAnsi="Arial" w:cs="Arial"/>
          <w:sz w:val="24"/>
          <w:szCs w:val="24"/>
        </w:rPr>
        <w:t xml:space="preserve"> na visokom nivou. Prema ovoj vrsti javnosti će se koristiti sljedeći komunikacijski alati: elektronska pošta, pisane pošiljke, web-stranica i dr.</w:t>
      </w:r>
    </w:p>
    <w:p w:rsidR="00B90E4A" w:rsidRPr="00514541" w:rsidRDefault="00B90E4A" w:rsidP="008F18B8">
      <w:pPr>
        <w:pStyle w:val="ListParagraph"/>
        <w:numPr>
          <w:ilvl w:val="1"/>
          <w:numId w:val="19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514541">
        <w:rPr>
          <w:rFonts w:ascii="Arial" w:hAnsi="Arial" w:cs="Arial"/>
          <w:b/>
          <w:sz w:val="24"/>
          <w:szCs w:val="24"/>
        </w:rPr>
        <w:t>Nevladin sektor</w:t>
      </w:r>
    </w:p>
    <w:p w:rsidR="00DF2004" w:rsidRPr="00CC5C04" w:rsidRDefault="00CC5C04" w:rsidP="009E255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Nevladine institucije </w:t>
      </w:r>
      <w:r w:rsidR="009E255E">
        <w:rPr>
          <w:rFonts w:ascii="Arial" w:hAnsi="Arial" w:cs="Arial"/>
          <w:sz w:val="24"/>
          <w:szCs w:val="24"/>
        </w:rPr>
        <w:t xml:space="preserve">čine </w:t>
      </w:r>
      <w:r>
        <w:rPr>
          <w:rFonts w:ascii="Arial" w:hAnsi="Arial" w:cs="Arial"/>
          <w:sz w:val="24"/>
          <w:szCs w:val="24"/>
        </w:rPr>
        <w:t xml:space="preserve">neprofitne </w:t>
      </w:r>
      <w:r w:rsidRPr="00CC5C04">
        <w:rPr>
          <w:rFonts w:ascii="Arial" w:hAnsi="Arial" w:cs="Arial"/>
          <w:sz w:val="24"/>
          <w:szCs w:val="24"/>
        </w:rPr>
        <w:t>društvene, kulturne, pravne i druge grupe koj</w:t>
      </w:r>
      <w:r>
        <w:rPr>
          <w:rFonts w:ascii="Arial" w:hAnsi="Arial" w:cs="Arial"/>
          <w:sz w:val="24"/>
          <w:szCs w:val="24"/>
        </w:rPr>
        <w:t xml:space="preserve">e </w:t>
      </w:r>
      <w:r w:rsidR="009E255E">
        <w:rPr>
          <w:rFonts w:ascii="Arial" w:hAnsi="Arial" w:cs="Arial"/>
          <w:sz w:val="24"/>
          <w:szCs w:val="24"/>
        </w:rPr>
        <w:t xml:space="preserve">se zalažu za određene ciljeve, a </w:t>
      </w:r>
      <w:r>
        <w:rPr>
          <w:rFonts w:ascii="Arial" w:hAnsi="Arial" w:cs="Arial"/>
          <w:sz w:val="24"/>
          <w:szCs w:val="24"/>
        </w:rPr>
        <w:t>Sud će</w:t>
      </w:r>
      <w:r w:rsidR="009E255E">
        <w:rPr>
          <w:rFonts w:ascii="Arial" w:hAnsi="Arial" w:cs="Arial"/>
          <w:sz w:val="24"/>
          <w:szCs w:val="24"/>
        </w:rPr>
        <w:t xml:space="preserve"> u tu svrhu koristiti sljedeće</w:t>
      </w:r>
      <w:r>
        <w:rPr>
          <w:rFonts w:ascii="Arial" w:hAnsi="Arial" w:cs="Arial"/>
          <w:sz w:val="24"/>
          <w:szCs w:val="24"/>
        </w:rPr>
        <w:t xml:space="preserve"> </w:t>
      </w:r>
      <w:r w:rsidR="009E255E">
        <w:rPr>
          <w:rFonts w:ascii="Arial" w:hAnsi="Arial" w:cs="Arial"/>
          <w:sz w:val="24"/>
          <w:szCs w:val="24"/>
        </w:rPr>
        <w:t>komunikacijske alate: web-stranica</w:t>
      </w:r>
      <w:r w:rsidR="00DE2DCC">
        <w:rPr>
          <w:rFonts w:ascii="Arial" w:hAnsi="Arial" w:cs="Arial"/>
          <w:sz w:val="24"/>
          <w:szCs w:val="24"/>
        </w:rPr>
        <w:t>,</w:t>
      </w:r>
      <w:r w:rsidR="009E255E">
        <w:rPr>
          <w:rFonts w:ascii="Arial" w:hAnsi="Arial" w:cs="Arial"/>
          <w:sz w:val="24"/>
          <w:szCs w:val="24"/>
        </w:rPr>
        <w:t xml:space="preserve"> elektronska pošta, pisane pošiljke</w:t>
      </w:r>
      <w:r w:rsidR="009E255E" w:rsidRPr="004C6C2F">
        <w:rPr>
          <w:rFonts w:ascii="Arial" w:hAnsi="Arial" w:cs="Arial"/>
          <w:sz w:val="24"/>
          <w:szCs w:val="24"/>
        </w:rPr>
        <w:t xml:space="preserve"> i dr</w:t>
      </w:r>
      <w:r w:rsidR="009E255E">
        <w:rPr>
          <w:rFonts w:ascii="Arial" w:hAnsi="Arial" w:cs="Arial"/>
          <w:sz w:val="24"/>
          <w:szCs w:val="24"/>
        </w:rPr>
        <w:t>.</w:t>
      </w:r>
    </w:p>
    <w:p w:rsidR="00BE2458" w:rsidRDefault="009E255E" w:rsidP="008F18B8">
      <w:pPr>
        <w:pStyle w:val="ListParagraph"/>
        <w:numPr>
          <w:ilvl w:val="1"/>
          <w:numId w:val="19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514541">
        <w:rPr>
          <w:rFonts w:ascii="Arial" w:hAnsi="Arial" w:cs="Arial"/>
          <w:b/>
          <w:sz w:val="24"/>
          <w:szCs w:val="24"/>
        </w:rPr>
        <w:t>S</w:t>
      </w:r>
      <w:r w:rsidR="000154E9" w:rsidRPr="00514541">
        <w:rPr>
          <w:rFonts w:ascii="Arial" w:hAnsi="Arial" w:cs="Arial"/>
          <w:b/>
          <w:sz w:val="24"/>
          <w:szCs w:val="24"/>
        </w:rPr>
        <w:t>tručna javnost</w:t>
      </w:r>
    </w:p>
    <w:p w:rsidR="00BE2458" w:rsidRPr="007E5992" w:rsidRDefault="00BE2458" w:rsidP="007E5992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7E5992">
        <w:rPr>
          <w:rFonts w:ascii="Arial" w:hAnsi="Arial" w:cs="Arial"/>
          <w:sz w:val="24"/>
          <w:szCs w:val="24"/>
        </w:rPr>
        <w:t>U ovu ciljnu grupu spada cjelokupna pravosudna zajednica: sudije, tužioci, advokati, akademska zajednica i druge institucije u čijem je interesu praćenje sudske prakse Suda.  Komunikacija sa ovom ciljnom grupom će se odvijati kroz sljedeće komunikacijske alate: elektronska pošta, pisane pošiljke, web-stranica, okrugli stolovi, paneli, konferencije, e-mail i drugo po potrebi.</w:t>
      </w:r>
    </w:p>
    <w:p w:rsidR="00BE2458" w:rsidRDefault="00BE2458" w:rsidP="007E5992">
      <w:pPr>
        <w:pStyle w:val="ListParagraph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BE2458" w:rsidRDefault="00BE2458" w:rsidP="008F18B8">
      <w:pPr>
        <w:pStyle w:val="ListParagraph"/>
        <w:numPr>
          <w:ilvl w:val="1"/>
          <w:numId w:val="19"/>
        </w:numPr>
        <w:spacing w:line="360" w:lineRule="auto"/>
        <w:jc w:val="both"/>
      </w:pPr>
      <w:r w:rsidRPr="007E5992">
        <w:rPr>
          <w:rFonts w:ascii="Arial" w:hAnsi="Arial" w:cs="Arial"/>
          <w:b/>
          <w:sz w:val="24"/>
          <w:szCs w:val="24"/>
        </w:rPr>
        <w:t>Predstavnici međunarodne zajednic</w:t>
      </w:r>
      <w:r>
        <w:rPr>
          <w:rFonts w:ascii="Arial" w:hAnsi="Arial" w:cs="Arial"/>
          <w:b/>
          <w:sz w:val="24"/>
          <w:szCs w:val="24"/>
        </w:rPr>
        <w:t>e</w:t>
      </w:r>
    </w:p>
    <w:p w:rsidR="009E255E" w:rsidRPr="009E255E" w:rsidRDefault="009E255E" w:rsidP="009E255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Međunarodna zajednica od početka osnivanja Suda </w:t>
      </w:r>
      <w:r w:rsidR="007F6941">
        <w:rPr>
          <w:rFonts w:ascii="Arial" w:hAnsi="Arial" w:cs="Arial"/>
          <w:sz w:val="24"/>
          <w:szCs w:val="24"/>
        </w:rPr>
        <w:t>pruža</w:t>
      </w:r>
      <w:r>
        <w:rPr>
          <w:rFonts w:ascii="Arial" w:hAnsi="Arial" w:cs="Arial"/>
          <w:sz w:val="24"/>
          <w:szCs w:val="24"/>
        </w:rPr>
        <w:t xml:space="preserve"> </w:t>
      </w:r>
      <w:r w:rsidR="007F6941">
        <w:rPr>
          <w:rFonts w:ascii="Arial" w:hAnsi="Arial" w:cs="Arial"/>
          <w:sz w:val="24"/>
          <w:szCs w:val="24"/>
        </w:rPr>
        <w:t xml:space="preserve">podršku kako Sudu, tako i cjelokupnom pravosuđu </w:t>
      </w:r>
      <w:r>
        <w:rPr>
          <w:rFonts w:ascii="Arial" w:hAnsi="Arial" w:cs="Arial"/>
          <w:sz w:val="24"/>
          <w:szCs w:val="24"/>
        </w:rPr>
        <w:t>i iz tog razloga će Sud i u narednom periodu osigurati pravovremenu i nesmetanu komunikaciju sa njenim predstavnicima kroz različite vidove</w:t>
      </w:r>
      <w:r w:rsidRPr="009E255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komunikacijskih alata</w:t>
      </w:r>
      <w:r w:rsidRPr="009E255E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 xml:space="preserve">elektronska pošta, pisane pošiljke, </w:t>
      </w:r>
      <w:r w:rsidRPr="009E255E">
        <w:rPr>
          <w:rFonts w:ascii="Arial" w:hAnsi="Arial" w:cs="Arial"/>
          <w:sz w:val="24"/>
          <w:szCs w:val="24"/>
        </w:rPr>
        <w:t>web</w:t>
      </w:r>
      <w:r>
        <w:rPr>
          <w:rFonts w:ascii="Arial" w:hAnsi="Arial" w:cs="Arial"/>
          <w:sz w:val="24"/>
          <w:szCs w:val="24"/>
        </w:rPr>
        <w:t>-stranica,</w:t>
      </w:r>
      <w:r w:rsidRPr="009E255E">
        <w:rPr>
          <w:rFonts w:ascii="Arial" w:hAnsi="Arial" w:cs="Arial"/>
          <w:sz w:val="24"/>
          <w:szCs w:val="24"/>
        </w:rPr>
        <w:t xml:space="preserve"> okrugli stolovi, </w:t>
      </w:r>
      <w:r>
        <w:rPr>
          <w:rFonts w:ascii="Arial" w:hAnsi="Arial" w:cs="Arial"/>
          <w:sz w:val="24"/>
          <w:szCs w:val="24"/>
        </w:rPr>
        <w:t>paneli, konferencije, e-mail, saopć</w:t>
      </w:r>
      <w:r w:rsidRPr="004C6C2F">
        <w:rPr>
          <w:rFonts w:ascii="Arial" w:hAnsi="Arial" w:cs="Arial"/>
          <w:sz w:val="24"/>
          <w:szCs w:val="24"/>
        </w:rPr>
        <w:t xml:space="preserve">enja za javnost, </w:t>
      </w:r>
      <w:r>
        <w:rPr>
          <w:rFonts w:ascii="Arial" w:hAnsi="Arial" w:cs="Arial"/>
          <w:sz w:val="24"/>
          <w:szCs w:val="24"/>
        </w:rPr>
        <w:t xml:space="preserve">sedmični pregledi aktivnosti, izjave, </w:t>
      </w:r>
      <w:r w:rsidRPr="004C6C2F">
        <w:rPr>
          <w:rFonts w:ascii="Arial" w:hAnsi="Arial" w:cs="Arial"/>
          <w:sz w:val="24"/>
          <w:szCs w:val="24"/>
        </w:rPr>
        <w:t>najave</w:t>
      </w:r>
      <w:r>
        <w:rPr>
          <w:rFonts w:ascii="Arial" w:hAnsi="Arial" w:cs="Arial"/>
          <w:sz w:val="24"/>
          <w:szCs w:val="24"/>
        </w:rPr>
        <w:t xml:space="preserve"> i drugo po potrebi.</w:t>
      </w:r>
    </w:p>
    <w:p w:rsidR="00C509EA" w:rsidRPr="007E5992" w:rsidRDefault="001A7A51" w:rsidP="008F18B8">
      <w:pPr>
        <w:pStyle w:val="ListParagraph"/>
        <w:numPr>
          <w:ilvl w:val="1"/>
          <w:numId w:val="19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7E5992">
        <w:rPr>
          <w:rFonts w:ascii="Arial" w:hAnsi="Arial" w:cs="Arial"/>
          <w:b/>
          <w:sz w:val="24"/>
          <w:szCs w:val="24"/>
        </w:rPr>
        <w:t>Interna javnost</w:t>
      </w:r>
    </w:p>
    <w:p w:rsidR="00F40EFB" w:rsidRDefault="00CC1B22" w:rsidP="009E255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Internu javnost čine svi zaposlenici Suda – predsjednik</w:t>
      </w:r>
      <w:r w:rsidRPr="00CC1B22">
        <w:rPr>
          <w:rFonts w:ascii="Arial" w:hAnsi="Arial" w:cs="Arial"/>
          <w:sz w:val="24"/>
          <w:szCs w:val="24"/>
        </w:rPr>
        <w:t xml:space="preserve">, sudije i </w:t>
      </w:r>
      <w:r>
        <w:rPr>
          <w:rFonts w:ascii="Arial" w:hAnsi="Arial" w:cs="Arial"/>
          <w:sz w:val="24"/>
          <w:szCs w:val="24"/>
        </w:rPr>
        <w:t>stručno osoblje</w:t>
      </w:r>
      <w:r w:rsidRPr="00CC1B22">
        <w:rPr>
          <w:rFonts w:ascii="Arial" w:hAnsi="Arial" w:cs="Arial"/>
          <w:sz w:val="24"/>
          <w:szCs w:val="24"/>
        </w:rPr>
        <w:t xml:space="preserve"> koji</w:t>
      </w:r>
      <w:r>
        <w:rPr>
          <w:rFonts w:ascii="Arial" w:hAnsi="Arial" w:cs="Arial"/>
          <w:sz w:val="24"/>
          <w:szCs w:val="24"/>
        </w:rPr>
        <w:t xml:space="preserve"> s</w:t>
      </w:r>
      <w:r w:rsidRPr="00CC1B22"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 xml:space="preserve"> osnovni kanal i ključni faktor za pravovremeno i tačno informisanje eksterne javnosti. Zaposlenici Suda u značajnoj mjeri doprinose transparentnosti rada i ugledu Suda i od njihovog angažmana, između ostalih, zavisi </w:t>
      </w:r>
      <w:r w:rsidR="00B83420">
        <w:rPr>
          <w:rFonts w:ascii="Arial" w:hAnsi="Arial" w:cs="Arial"/>
          <w:sz w:val="24"/>
          <w:szCs w:val="24"/>
        </w:rPr>
        <w:t>promptno reagovanje u cilju</w:t>
      </w:r>
      <w:r>
        <w:rPr>
          <w:rFonts w:ascii="Arial" w:hAnsi="Arial" w:cs="Arial"/>
          <w:sz w:val="24"/>
          <w:szCs w:val="24"/>
        </w:rPr>
        <w:t xml:space="preserve"> </w:t>
      </w:r>
      <w:r w:rsidR="00B83420">
        <w:rPr>
          <w:rFonts w:ascii="Arial" w:hAnsi="Arial" w:cs="Arial"/>
          <w:sz w:val="24"/>
          <w:szCs w:val="24"/>
        </w:rPr>
        <w:t xml:space="preserve">informisanja </w:t>
      </w:r>
      <w:r>
        <w:rPr>
          <w:rFonts w:ascii="Arial" w:hAnsi="Arial" w:cs="Arial"/>
          <w:sz w:val="24"/>
          <w:szCs w:val="24"/>
        </w:rPr>
        <w:t>javnosti</w:t>
      </w:r>
      <w:r w:rsidRPr="00CC1B22">
        <w:rPr>
          <w:rFonts w:ascii="Arial" w:hAnsi="Arial" w:cs="Arial"/>
          <w:sz w:val="24"/>
          <w:szCs w:val="24"/>
        </w:rPr>
        <w:t xml:space="preserve">. </w:t>
      </w:r>
      <w:r w:rsidR="00B83420">
        <w:rPr>
          <w:rFonts w:ascii="Arial" w:hAnsi="Arial" w:cs="Arial"/>
          <w:sz w:val="24"/>
          <w:szCs w:val="24"/>
        </w:rPr>
        <w:t xml:space="preserve">Sud će prema ovoj vrsti javnosti koristiti različite komunikacijske alate kao što su: </w:t>
      </w:r>
      <w:r w:rsidR="00B83420" w:rsidRPr="00CC1B22">
        <w:rPr>
          <w:rFonts w:ascii="Arial" w:hAnsi="Arial" w:cs="Arial"/>
          <w:sz w:val="24"/>
          <w:szCs w:val="24"/>
        </w:rPr>
        <w:t>e-mail</w:t>
      </w:r>
      <w:r w:rsidR="00B83420">
        <w:rPr>
          <w:rFonts w:ascii="Arial" w:hAnsi="Arial" w:cs="Arial"/>
          <w:sz w:val="24"/>
          <w:szCs w:val="24"/>
        </w:rPr>
        <w:t xml:space="preserve">, </w:t>
      </w:r>
      <w:r w:rsidR="009E255E">
        <w:rPr>
          <w:rFonts w:ascii="Arial" w:hAnsi="Arial" w:cs="Arial"/>
          <w:sz w:val="24"/>
          <w:szCs w:val="24"/>
        </w:rPr>
        <w:t>lična</w:t>
      </w:r>
      <w:r w:rsidR="00B83420">
        <w:rPr>
          <w:rFonts w:ascii="Arial" w:hAnsi="Arial" w:cs="Arial"/>
          <w:sz w:val="24"/>
          <w:szCs w:val="24"/>
        </w:rPr>
        <w:t xml:space="preserve"> (</w:t>
      </w:r>
      <w:r w:rsidR="00B83420">
        <w:rPr>
          <w:rFonts w:ascii="Arial" w:hAnsi="Arial" w:cs="Arial"/>
          <w:i/>
          <w:sz w:val="24"/>
          <w:szCs w:val="24"/>
        </w:rPr>
        <w:t xml:space="preserve">face to </w:t>
      </w:r>
      <w:r w:rsidR="00B83420" w:rsidRPr="00B83420">
        <w:rPr>
          <w:rFonts w:ascii="Arial" w:hAnsi="Arial" w:cs="Arial"/>
          <w:i/>
          <w:sz w:val="24"/>
          <w:szCs w:val="24"/>
        </w:rPr>
        <w:t>face</w:t>
      </w:r>
      <w:r w:rsidR="00B83420">
        <w:rPr>
          <w:rFonts w:ascii="Arial" w:hAnsi="Arial" w:cs="Arial"/>
          <w:sz w:val="24"/>
          <w:szCs w:val="24"/>
        </w:rPr>
        <w:t>), telefon</w:t>
      </w:r>
      <w:r w:rsidR="009E255E">
        <w:rPr>
          <w:rFonts w:ascii="Arial" w:hAnsi="Arial" w:cs="Arial"/>
          <w:sz w:val="24"/>
          <w:szCs w:val="24"/>
        </w:rPr>
        <w:t>ska komunikacija</w:t>
      </w:r>
      <w:r w:rsidR="00B83420">
        <w:rPr>
          <w:rFonts w:ascii="Arial" w:hAnsi="Arial" w:cs="Arial"/>
          <w:sz w:val="24"/>
          <w:szCs w:val="24"/>
        </w:rPr>
        <w:t>, intranet</w:t>
      </w:r>
      <w:r w:rsidR="009E255E">
        <w:rPr>
          <w:rFonts w:ascii="Arial" w:hAnsi="Arial" w:cs="Arial"/>
          <w:sz w:val="24"/>
          <w:szCs w:val="24"/>
        </w:rPr>
        <w:t xml:space="preserve"> Suda</w:t>
      </w:r>
      <w:r w:rsidRPr="00CC1B22">
        <w:rPr>
          <w:rFonts w:ascii="Arial" w:hAnsi="Arial" w:cs="Arial"/>
          <w:sz w:val="24"/>
          <w:szCs w:val="24"/>
        </w:rPr>
        <w:t xml:space="preserve"> </w:t>
      </w:r>
      <w:r w:rsidR="00B83420">
        <w:rPr>
          <w:rFonts w:ascii="Arial" w:hAnsi="Arial" w:cs="Arial"/>
          <w:sz w:val="24"/>
          <w:szCs w:val="24"/>
        </w:rPr>
        <w:t>i dr.</w:t>
      </w:r>
      <w:r w:rsidRPr="00CC1B22">
        <w:rPr>
          <w:rFonts w:ascii="Arial" w:hAnsi="Arial" w:cs="Arial"/>
          <w:sz w:val="24"/>
          <w:szCs w:val="24"/>
        </w:rPr>
        <w:t xml:space="preserve">   </w:t>
      </w:r>
    </w:p>
    <w:p w:rsidR="00BE2458" w:rsidRPr="007E5992" w:rsidRDefault="00BE2458" w:rsidP="007E5992"/>
    <w:p w:rsidR="00BD4E50" w:rsidRDefault="00C509EA" w:rsidP="008F18B8">
      <w:pPr>
        <w:pStyle w:val="Heading1"/>
        <w:numPr>
          <w:ilvl w:val="0"/>
          <w:numId w:val="18"/>
        </w:numPr>
        <w:spacing w:line="360" w:lineRule="auto"/>
      </w:pPr>
      <w:bookmarkStart w:id="4" w:name="_Toc154667799"/>
      <w:r w:rsidRPr="00EE53F7">
        <w:t>OSNOVNI ALATI ZA UNAPREĐENJE KOMUNIKACIJE</w:t>
      </w:r>
      <w:bookmarkEnd w:id="4"/>
    </w:p>
    <w:p w:rsidR="00BE2458" w:rsidRPr="007E5992" w:rsidRDefault="00BE2458" w:rsidP="007E599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E5992">
        <w:rPr>
          <w:rFonts w:ascii="Arial" w:hAnsi="Arial" w:cs="Arial"/>
          <w:sz w:val="24"/>
          <w:szCs w:val="24"/>
        </w:rPr>
        <w:t>Kako je ranije navedeno, Odjeljenje za informiranje javnosti Suda Bosne i Hercegovine je zaduženo za komunikaciju s medijima, domaćim i međunarodnim, ali i građanima. Osnovni zadatak ovog Odjeljenja jeste uspostavljanje dvosmjerne komunikacije s predstavnicima bosanskohercegovačke javnosti i dostavljanje svih javnih informacija iz Suda Bosne i Hercegovine. Odjeljenje čini rad Suda BiH transparentnim jer upoznaje medije, a putem medija i građane o radu i aktivnostima Suda BiH, što pomaže podizanju opće društvene svijesti o radu i značaju Suda BiH.</w:t>
      </w:r>
    </w:p>
    <w:p w:rsidR="00BE2458" w:rsidRPr="007E5992" w:rsidRDefault="00BE2458" w:rsidP="007E599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E5992">
        <w:rPr>
          <w:rFonts w:ascii="Arial" w:hAnsi="Arial" w:cs="Arial"/>
          <w:sz w:val="24"/>
          <w:szCs w:val="24"/>
        </w:rPr>
        <w:t>U saradnji sa audio-video tehničarima Suda BiH Odjeljenje osigurava materijale sa suđenja kako bi novinari posao mogli obavljati profesionalno i nesmetano.</w:t>
      </w:r>
    </w:p>
    <w:p w:rsidR="00BE2458" w:rsidRPr="00BE2458" w:rsidRDefault="008F18B8" w:rsidP="00BE35BB">
      <w:pPr>
        <w:pStyle w:val="Heading2"/>
        <w:spacing w:line="360" w:lineRule="auto"/>
      </w:pPr>
      <w:bookmarkStart w:id="5" w:name="_Toc154667800"/>
      <w:r w:rsidRPr="008F18B8">
        <w:t>6.1</w:t>
      </w:r>
      <w:r>
        <w:rPr>
          <w:rFonts w:asciiTheme="minorHAnsi" w:hAnsiTheme="minorHAnsi" w:cstheme="minorBidi"/>
          <w:b w:val="0"/>
          <w:sz w:val="22"/>
          <w:szCs w:val="22"/>
        </w:rPr>
        <w:t xml:space="preserve"> </w:t>
      </w:r>
      <w:r w:rsidR="00BE2458" w:rsidRPr="006208BD">
        <w:t>Web-stranica Suda BiH</w:t>
      </w:r>
      <w:bookmarkEnd w:id="5"/>
    </w:p>
    <w:p w:rsidR="00BD4E50" w:rsidRPr="00C509EA" w:rsidRDefault="00BD4E50" w:rsidP="004C6C2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509EA">
        <w:rPr>
          <w:rFonts w:ascii="Arial" w:hAnsi="Arial" w:cs="Arial"/>
          <w:sz w:val="24"/>
          <w:szCs w:val="24"/>
        </w:rPr>
        <w:t xml:space="preserve">Odjeljenje za informiranje javnosti je zaduženo za ažuriranje web-stranice Suda, odnosno svog sadržaja koji je na istoj dostupan. Podaci koje sadrži web-stranica kontinuirano se proširuju i ažuriraju vodeći računa o što efikasnijem i lakšem pristupu sadržajima, te specifičnim zahtjevima javnosti. </w:t>
      </w:r>
    </w:p>
    <w:p w:rsidR="00BD4E50" w:rsidRPr="00713A0C" w:rsidRDefault="00BD4E50" w:rsidP="004C6C2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13A0C">
        <w:rPr>
          <w:rFonts w:ascii="Arial" w:hAnsi="Arial" w:cs="Arial"/>
          <w:sz w:val="24"/>
          <w:szCs w:val="24"/>
        </w:rPr>
        <w:t>Uz pomoć AIRE centra 2022. godine je pokrenuta nova web-stranica Suda, na kojoj je omogućena lakša pretraga</w:t>
      </w:r>
      <w:r w:rsidR="002B3637" w:rsidRPr="00713A0C">
        <w:rPr>
          <w:rFonts w:ascii="Arial" w:hAnsi="Arial" w:cs="Arial"/>
          <w:sz w:val="24"/>
          <w:szCs w:val="24"/>
        </w:rPr>
        <w:t xml:space="preserve"> predmeta iz sudske prakse po više parametara, bolji pregled samih predmeta i njihovih sažetaka</w:t>
      </w:r>
      <w:r w:rsidRPr="00713A0C">
        <w:rPr>
          <w:rFonts w:ascii="Arial" w:hAnsi="Arial" w:cs="Arial"/>
          <w:sz w:val="24"/>
          <w:szCs w:val="24"/>
        </w:rPr>
        <w:t>, kao i lakši pristup i preuzimanje dostupnih presuda i publikacija Suda.</w:t>
      </w:r>
    </w:p>
    <w:p w:rsidR="00D461F3" w:rsidRPr="00713A0C" w:rsidRDefault="00D461F3" w:rsidP="004C6C2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13A0C">
        <w:rPr>
          <w:rFonts w:ascii="Arial" w:hAnsi="Arial" w:cs="Arial"/>
          <w:sz w:val="24"/>
          <w:szCs w:val="24"/>
        </w:rPr>
        <w:t>Na web-stranici Suda BiH se, između ostalih informacija vezanih za rad Suda, objavljuju i statistike o presudama Suda za krivična djela koja su od interesa javnosti</w:t>
      </w:r>
      <w:r w:rsidR="00F3215F" w:rsidRPr="00713A0C">
        <w:rPr>
          <w:rFonts w:ascii="Arial" w:hAnsi="Arial" w:cs="Arial"/>
          <w:sz w:val="24"/>
          <w:szCs w:val="24"/>
        </w:rPr>
        <w:t xml:space="preserve"> s posebn</w:t>
      </w:r>
      <w:r w:rsidR="002B3637" w:rsidRPr="00713A0C">
        <w:rPr>
          <w:rFonts w:ascii="Arial" w:hAnsi="Arial" w:cs="Arial"/>
          <w:sz w:val="24"/>
          <w:szCs w:val="24"/>
        </w:rPr>
        <w:t>im osvrtom na predmete korupcije.</w:t>
      </w:r>
    </w:p>
    <w:p w:rsidR="00D461F3" w:rsidRPr="00713A0C" w:rsidRDefault="00D461F3" w:rsidP="004C6C2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13A0C">
        <w:rPr>
          <w:rFonts w:ascii="Arial" w:hAnsi="Arial" w:cs="Arial"/>
          <w:sz w:val="24"/>
          <w:szCs w:val="24"/>
        </w:rPr>
        <w:t>Navedene statističke podatke tokom cijele godine prikuplja i ažurira Odjeljenje za sudsku upravu, te iste dostavlja Odjeljenju za informiranje javnosti. Prikupljene podatke Odjeljenje za informiranje javnosti obrađuje i objavljuje na web-stranici dva puta godišnje.</w:t>
      </w:r>
    </w:p>
    <w:p w:rsidR="00D461F3" w:rsidRPr="00D046DE" w:rsidRDefault="00F3215F" w:rsidP="004C6C2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13A0C">
        <w:rPr>
          <w:rFonts w:ascii="Arial" w:hAnsi="Arial" w:cs="Arial"/>
          <w:sz w:val="24"/>
          <w:szCs w:val="24"/>
        </w:rPr>
        <w:t>U skladu sa smjernicama</w:t>
      </w:r>
      <w:r w:rsidR="00CA4ED1" w:rsidRPr="00713A0C">
        <w:rPr>
          <w:rFonts w:ascii="Arial" w:hAnsi="Arial" w:cs="Arial"/>
          <w:sz w:val="24"/>
          <w:szCs w:val="24"/>
        </w:rPr>
        <w:t xml:space="preserve"> iz </w:t>
      </w:r>
      <w:r w:rsidR="00CA4ED1" w:rsidRPr="00D046DE">
        <w:rPr>
          <w:rFonts w:ascii="Arial" w:hAnsi="Arial" w:cs="Arial"/>
          <w:sz w:val="24"/>
          <w:szCs w:val="24"/>
        </w:rPr>
        <w:t>Revidirane državne strategije za rad na predmetima ratnih zločina</w:t>
      </w:r>
      <w:r w:rsidR="009442AE" w:rsidRPr="00713A0C">
        <w:rPr>
          <w:rFonts w:ascii="Arial" w:hAnsi="Arial" w:cs="Arial"/>
          <w:sz w:val="24"/>
          <w:szCs w:val="24"/>
        </w:rPr>
        <w:t xml:space="preserve">, </w:t>
      </w:r>
      <w:r w:rsidR="0016685B" w:rsidRPr="00713A0C">
        <w:rPr>
          <w:rFonts w:ascii="Arial" w:hAnsi="Arial" w:cs="Arial"/>
          <w:sz w:val="24"/>
          <w:szCs w:val="24"/>
        </w:rPr>
        <w:t>na web-stranici Suda BiH se</w:t>
      </w:r>
      <w:r w:rsidR="00D461F3" w:rsidRPr="00713A0C">
        <w:rPr>
          <w:rFonts w:ascii="Arial" w:hAnsi="Arial" w:cs="Arial"/>
          <w:sz w:val="24"/>
          <w:szCs w:val="24"/>
        </w:rPr>
        <w:t xml:space="preserve"> pored postojećih statistika vezanih za p</w:t>
      </w:r>
      <w:r w:rsidR="0016685B" w:rsidRPr="00713A0C">
        <w:rPr>
          <w:rFonts w:ascii="Arial" w:hAnsi="Arial" w:cs="Arial"/>
          <w:sz w:val="24"/>
          <w:szCs w:val="24"/>
        </w:rPr>
        <w:t xml:space="preserve">resude </w:t>
      </w:r>
      <w:r w:rsidRPr="00713A0C">
        <w:rPr>
          <w:rFonts w:ascii="Arial" w:hAnsi="Arial" w:cs="Arial"/>
          <w:sz w:val="24"/>
          <w:szCs w:val="24"/>
        </w:rPr>
        <w:t xml:space="preserve">iz </w:t>
      </w:r>
      <w:r w:rsidR="0016685B" w:rsidRPr="00713A0C">
        <w:rPr>
          <w:rFonts w:ascii="Arial" w:hAnsi="Arial" w:cs="Arial"/>
          <w:sz w:val="24"/>
          <w:szCs w:val="24"/>
        </w:rPr>
        <w:t>ratne</w:t>
      </w:r>
      <w:r w:rsidR="0016685B" w:rsidRPr="00D046DE">
        <w:rPr>
          <w:rFonts w:ascii="Arial" w:hAnsi="Arial" w:cs="Arial"/>
          <w:sz w:val="24"/>
          <w:szCs w:val="24"/>
        </w:rPr>
        <w:t xml:space="preserve"> zločine objavljuje </w:t>
      </w:r>
      <w:r w:rsidR="00D461F3" w:rsidRPr="00D046DE">
        <w:rPr>
          <w:rFonts w:ascii="Arial" w:hAnsi="Arial" w:cs="Arial"/>
          <w:sz w:val="24"/>
          <w:szCs w:val="24"/>
        </w:rPr>
        <w:t>i statistika o samim predmetim</w:t>
      </w:r>
      <w:r w:rsidR="00C509EA" w:rsidRPr="00D046DE">
        <w:rPr>
          <w:rFonts w:ascii="Arial" w:hAnsi="Arial" w:cs="Arial"/>
          <w:sz w:val="24"/>
          <w:szCs w:val="24"/>
        </w:rPr>
        <w:t>a ratnih zločina, koja, između ostalih, sadrži</w:t>
      </w:r>
      <w:r w:rsidR="00D461F3" w:rsidRPr="00D046DE">
        <w:rPr>
          <w:rFonts w:ascii="Arial" w:hAnsi="Arial" w:cs="Arial"/>
          <w:sz w:val="24"/>
          <w:szCs w:val="24"/>
        </w:rPr>
        <w:t xml:space="preserve"> podatke o broju potvrđenih optužnica, broju riješenih odnosno neriješenih predmeta i </w:t>
      </w:r>
      <w:r w:rsidR="00C509EA" w:rsidRPr="00D046DE">
        <w:rPr>
          <w:rFonts w:ascii="Arial" w:hAnsi="Arial" w:cs="Arial"/>
          <w:sz w:val="24"/>
          <w:szCs w:val="24"/>
        </w:rPr>
        <w:t>broju nedostupnih lica.</w:t>
      </w:r>
      <w:r w:rsidRPr="00D046DE">
        <w:rPr>
          <w:rFonts w:ascii="Arial" w:hAnsi="Arial" w:cs="Arial"/>
          <w:sz w:val="24"/>
          <w:szCs w:val="24"/>
        </w:rPr>
        <w:t xml:space="preserve"> </w:t>
      </w:r>
    </w:p>
    <w:p w:rsidR="004C6C2F" w:rsidRPr="00C509EA" w:rsidRDefault="00C509EA" w:rsidP="004C6C2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046DE">
        <w:rPr>
          <w:rFonts w:ascii="Arial" w:hAnsi="Arial" w:cs="Arial"/>
          <w:sz w:val="24"/>
          <w:szCs w:val="24"/>
        </w:rPr>
        <w:t xml:space="preserve">Web-stranica nudi i </w:t>
      </w:r>
      <w:r w:rsidR="00D461F3" w:rsidRPr="00D046DE">
        <w:rPr>
          <w:rFonts w:ascii="Arial" w:hAnsi="Arial" w:cs="Arial"/>
          <w:sz w:val="24"/>
          <w:szCs w:val="24"/>
        </w:rPr>
        <w:t>brošure</w:t>
      </w:r>
      <w:r w:rsidR="00F3215F" w:rsidRPr="00D046DE">
        <w:rPr>
          <w:rFonts w:ascii="Arial" w:hAnsi="Arial" w:cs="Arial"/>
          <w:sz w:val="24"/>
          <w:szCs w:val="24"/>
        </w:rPr>
        <w:t>, publik</w:t>
      </w:r>
      <w:r w:rsidR="009442AE" w:rsidRPr="00D046DE">
        <w:rPr>
          <w:rFonts w:ascii="Arial" w:hAnsi="Arial" w:cs="Arial"/>
          <w:sz w:val="24"/>
          <w:szCs w:val="24"/>
        </w:rPr>
        <w:t>a</w:t>
      </w:r>
      <w:r w:rsidR="00F3215F" w:rsidRPr="00D046DE">
        <w:rPr>
          <w:rFonts w:ascii="Arial" w:hAnsi="Arial" w:cs="Arial"/>
          <w:sz w:val="24"/>
          <w:szCs w:val="24"/>
        </w:rPr>
        <w:t>cije i biltene</w:t>
      </w:r>
      <w:r w:rsidR="00D461F3" w:rsidRPr="00D046DE">
        <w:rPr>
          <w:rFonts w:ascii="Arial" w:hAnsi="Arial" w:cs="Arial"/>
          <w:sz w:val="24"/>
          <w:szCs w:val="24"/>
        </w:rPr>
        <w:t xml:space="preserve"> Suda BiH</w:t>
      </w:r>
      <w:r w:rsidRPr="00D046DE">
        <w:rPr>
          <w:rFonts w:ascii="Arial" w:hAnsi="Arial" w:cs="Arial"/>
          <w:sz w:val="24"/>
          <w:szCs w:val="24"/>
        </w:rPr>
        <w:t>, saopćenja za javnost, sedmične preglede aktivnosti</w:t>
      </w:r>
      <w:r w:rsidR="009442AE" w:rsidRPr="00713A0C">
        <w:rPr>
          <w:rFonts w:ascii="Arial" w:hAnsi="Arial" w:cs="Arial"/>
          <w:sz w:val="24"/>
          <w:szCs w:val="24"/>
        </w:rPr>
        <w:t xml:space="preserve"> koji se vode pred S</w:t>
      </w:r>
      <w:r w:rsidR="00F3215F" w:rsidRPr="00D046DE">
        <w:rPr>
          <w:rFonts w:ascii="Arial" w:hAnsi="Arial" w:cs="Arial"/>
          <w:sz w:val="24"/>
          <w:szCs w:val="24"/>
        </w:rPr>
        <w:t>udom</w:t>
      </w:r>
      <w:r w:rsidRPr="00D046DE">
        <w:rPr>
          <w:rFonts w:ascii="Arial" w:hAnsi="Arial" w:cs="Arial"/>
          <w:sz w:val="24"/>
          <w:szCs w:val="24"/>
        </w:rPr>
        <w:t>, organizacionu strukturu</w:t>
      </w:r>
      <w:r w:rsidR="000112DD" w:rsidRPr="00D046DE">
        <w:rPr>
          <w:rFonts w:ascii="Arial" w:hAnsi="Arial" w:cs="Arial"/>
          <w:sz w:val="24"/>
          <w:szCs w:val="24"/>
        </w:rPr>
        <w:t xml:space="preserve"> </w:t>
      </w:r>
      <w:r w:rsidR="00D461F3" w:rsidRPr="00D046DE">
        <w:rPr>
          <w:rFonts w:ascii="Arial" w:hAnsi="Arial" w:cs="Arial"/>
          <w:sz w:val="24"/>
          <w:szCs w:val="24"/>
        </w:rPr>
        <w:t xml:space="preserve"> i kalendar ročišta </w:t>
      </w:r>
      <w:r w:rsidR="000112DD" w:rsidRPr="00D046DE">
        <w:rPr>
          <w:rFonts w:ascii="Arial" w:hAnsi="Arial" w:cs="Arial"/>
          <w:sz w:val="24"/>
          <w:szCs w:val="24"/>
        </w:rPr>
        <w:t>koji</w:t>
      </w:r>
      <w:r w:rsidRPr="00D046DE">
        <w:rPr>
          <w:rFonts w:ascii="Arial" w:hAnsi="Arial" w:cs="Arial"/>
          <w:sz w:val="24"/>
          <w:szCs w:val="24"/>
        </w:rPr>
        <w:t xml:space="preserve"> sadrži sva zakazana i održana ročišta pred Sudom.</w:t>
      </w:r>
    </w:p>
    <w:p w:rsidR="009E7D16" w:rsidRPr="006208BD" w:rsidRDefault="00BE2458" w:rsidP="004C6C2F">
      <w:pPr>
        <w:pStyle w:val="Heading2"/>
        <w:spacing w:line="360" w:lineRule="auto"/>
      </w:pPr>
      <w:bookmarkStart w:id="6" w:name="_Toc154667801"/>
      <w:r>
        <w:t xml:space="preserve">6.2. </w:t>
      </w:r>
      <w:r w:rsidR="009E7D16" w:rsidRPr="006208BD">
        <w:t>Rješavanje zahtjeva za slobodan pristup informacijama</w:t>
      </w:r>
      <w:bookmarkEnd w:id="6"/>
    </w:p>
    <w:p w:rsidR="00C54F7C" w:rsidRPr="00C54F7C" w:rsidRDefault="00C54F7C" w:rsidP="004C6C2F">
      <w:pPr>
        <w:pStyle w:val="Style2"/>
        <w:tabs>
          <w:tab w:val="left" w:pos="401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54F7C">
        <w:rPr>
          <w:rFonts w:ascii="Arial" w:hAnsi="Arial" w:cs="Arial"/>
          <w:sz w:val="24"/>
          <w:szCs w:val="24"/>
        </w:rPr>
        <w:t xml:space="preserve">Rok za odgovor na </w:t>
      </w:r>
      <w:r>
        <w:rPr>
          <w:rFonts w:ascii="Arial" w:hAnsi="Arial" w:cs="Arial"/>
          <w:sz w:val="24"/>
          <w:szCs w:val="24"/>
        </w:rPr>
        <w:t>zahtjeve za pristup informacijama je, u skladu sa Zakonom</w:t>
      </w:r>
      <w:r w:rsidRPr="00C54F7C">
        <w:rPr>
          <w:rFonts w:ascii="Arial" w:hAnsi="Arial" w:cs="Arial"/>
          <w:sz w:val="24"/>
          <w:szCs w:val="24"/>
        </w:rPr>
        <w:t xml:space="preserve"> o slobodi pristupa informacijama na nivou institucija BiH</w:t>
      </w:r>
      <w:r>
        <w:rPr>
          <w:rFonts w:ascii="Arial" w:hAnsi="Arial" w:cs="Arial"/>
          <w:sz w:val="24"/>
          <w:szCs w:val="24"/>
        </w:rPr>
        <w:t>, 15 dana.</w:t>
      </w:r>
      <w:r w:rsidRPr="00C54F7C">
        <w:rPr>
          <w:rStyle w:val="CharStyle3"/>
          <w:rFonts w:ascii="Arial" w:hAnsi="Arial" w:cs="Arial"/>
          <w:sz w:val="24"/>
          <w:szCs w:val="24"/>
          <w:lang w:val="hr-HR" w:eastAsia="hr-HR" w:bidi="hr-HR"/>
        </w:rPr>
        <w:t xml:space="preserve"> Po prijemu zahtjeva, zaposlenik Odjeljenja za informisanje vrši pregled i prema starosti i vrsti zahtjeva utvrđuje kojim će redom biti uzeti u rad. Prioritet će imati zahtjevi medijskih kuća koji se odnose na dnevne informacije o tekućim suđenjima, odnosno na izdavanje audio-video zapisa suđenja koja se održavaju tog dana. </w:t>
      </w:r>
      <w:r>
        <w:rPr>
          <w:rStyle w:val="CharStyle3"/>
          <w:rFonts w:ascii="Arial" w:hAnsi="Arial" w:cs="Arial"/>
          <w:sz w:val="24"/>
          <w:szCs w:val="24"/>
          <w:lang w:val="hr-HR" w:eastAsia="hr-HR" w:bidi="hr-HR"/>
        </w:rPr>
        <w:t>Zaposlenik je dužan uložiti sve napore kako bi u što kraćem roku odgovorio na zahtjev za pristup informacijama.</w:t>
      </w:r>
    </w:p>
    <w:p w:rsidR="00C54F7C" w:rsidRDefault="00C54F7C" w:rsidP="004C6C2F">
      <w:pPr>
        <w:pStyle w:val="Style2"/>
        <w:tabs>
          <w:tab w:val="left" w:pos="401"/>
        </w:tabs>
        <w:spacing w:line="360" w:lineRule="auto"/>
        <w:jc w:val="both"/>
        <w:rPr>
          <w:rStyle w:val="CharStyle3"/>
          <w:rFonts w:ascii="Arial" w:hAnsi="Arial" w:cs="Arial"/>
          <w:sz w:val="24"/>
          <w:szCs w:val="24"/>
          <w:lang w:val="hr-HR" w:eastAsia="hr-HR" w:bidi="hr-HR"/>
        </w:rPr>
      </w:pPr>
      <w:r w:rsidRPr="00C54F7C">
        <w:rPr>
          <w:rStyle w:val="CharStyle3"/>
          <w:rFonts w:ascii="Arial" w:hAnsi="Arial" w:cs="Arial"/>
          <w:sz w:val="24"/>
          <w:szCs w:val="24"/>
          <w:lang w:val="hr-HR" w:eastAsia="hr-HR" w:bidi="hr-HR"/>
        </w:rPr>
        <w:t xml:space="preserve">Zaposlenik Odjeljenja za informiranje dužan je </w:t>
      </w:r>
      <w:r w:rsidR="00F87486">
        <w:rPr>
          <w:rStyle w:val="CharStyle3"/>
          <w:rFonts w:ascii="Arial" w:hAnsi="Arial" w:cs="Arial"/>
          <w:sz w:val="24"/>
          <w:szCs w:val="24"/>
          <w:lang w:val="hr-HR" w:eastAsia="hr-HR" w:bidi="hr-HR"/>
        </w:rPr>
        <w:t>preduzeti</w:t>
      </w:r>
      <w:r w:rsidRPr="00C54F7C">
        <w:rPr>
          <w:rStyle w:val="CharStyle3"/>
          <w:rFonts w:ascii="Arial" w:hAnsi="Arial" w:cs="Arial"/>
          <w:sz w:val="24"/>
          <w:szCs w:val="24"/>
          <w:lang w:val="hr-HR" w:eastAsia="hr-HR" w:bidi="hr-HR"/>
        </w:rPr>
        <w:t xml:space="preserve"> sve neophodne radnje kako bi prikupio tražene informacije i </w:t>
      </w:r>
      <w:r w:rsidR="00F87486">
        <w:rPr>
          <w:rStyle w:val="CharStyle3"/>
          <w:rFonts w:ascii="Arial" w:hAnsi="Arial" w:cs="Arial"/>
          <w:sz w:val="24"/>
          <w:szCs w:val="24"/>
          <w:lang w:val="hr-HR" w:eastAsia="hr-HR" w:bidi="hr-HR"/>
        </w:rPr>
        <w:t>razmotriti</w:t>
      </w:r>
      <w:r w:rsidRPr="00C54F7C">
        <w:rPr>
          <w:rStyle w:val="CharStyle3"/>
          <w:rFonts w:ascii="Arial" w:hAnsi="Arial" w:cs="Arial"/>
          <w:sz w:val="24"/>
          <w:szCs w:val="24"/>
          <w:lang w:val="hr-HR" w:eastAsia="hr-HR" w:bidi="hr-HR"/>
        </w:rPr>
        <w:t xml:space="preserve"> sve činjenice i okolnosti koje s</w:t>
      </w:r>
      <w:r>
        <w:rPr>
          <w:rStyle w:val="CharStyle3"/>
          <w:rFonts w:ascii="Arial" w:hAnsi="Arial" w:cs="Arial"/>
          <w:sz w:val="24"/>
          <w:szCs w:val="24"/>
          <w:lang w:val="hr-HR" w:eastAsia="hr-HR" w:bidi="hr-HR"/>
        </w:rPr>
        <w:t>u od značaja za obradu zahtjeva, nakon čega uz prethodnu konsultaciju sa predsjednikom Suda, postupajućim sudijom, registrarom ili rukovodiocem Odjeljenja formira odgovor, odnosno izrađuje rješenje.</w:t>
      </w:r>
    </w:p>
    <w:p w:rsidR="00EE53F7" w:rsidRPr="00C509EA" w:rsidRDefault="00EE53F7" w:rsidP="004C6C2F">
      <w:pPr>
        <w:pStyle w:val="Style2"/>
        <w:tabs>
          <w:tab w:val="left" w:pos="398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509EA">
        <w:rPr>
          <w:rStyle w:val="CharStyle3"/>
          <w:rFonts w:ascii="Arial" w:hAnsi="Arial" w:cs="Arial"/>
          <w:sz w:val="24"/>
          <w:szCs w:val="24"/>
        </w:rPr>
        <w:t xml:space="preserve">Zaposlenik Odjeljenja za informiranje će samostalno pripremiti informaciju ukoliko se zahtjev odnosi na informacije koje je Sud na bilo koji način zvanično objavio (putem saopštenja, sedmičnog pregleda aktivnosti, </w:t>
      </w:r>
      <w:r w:rsidR="00F87486">
        <w:rPr>
          <w:rStyle w:val="CharStyle3"/>
          <w:rFonts w:ascii="Arial" w:hAnsi="Arial" w:cs="Arial"/>
          <w:sz w:val="24"/>
          <w:szCs w:val="24"/>
          <w:lang w:bidi="en-US"/>
        </w:rPr>
        <w:t>web-</w:t>
      </w:r>
      <w:r w:rsidR="00F87486">
        <w:rPr>
          <w:rStyle w:val="CharStyle3"/>
          <w:rFonts w:ascii="Arial" w:hAnsi="Arial" w:cs="Arial"/>
          <w:sz w:val="24"/>
          <w:szCs w:val="24"/>
        </w:rPr>
        <w:t>stranice Sud</w:t>
      </w:r>
      <w:r w:rsidRPr="00C509EA">
        <w:rPr>
          <w:rStyle w:val="CharStyle3"/>
          <w:rFonts w:ascii="Arial" w:hAnsi="Arial" w:cs="Arial"/>
          <w:sz w:val="24"/>
          <w:szCs w:val="24"/>
        </w:rPr>
        <w:t xml:space="preserve">a, godišnjeg plana rada Suda), odnosno na informacije za koje već postoji odobrenje za objavljivanje. Ukoliko postoji sumnja u aktuelnost i tačnost objavljene informacije, zaposlenik će provesti neophodne provjere. </w:t>
      </w:r>
    </w:p>
    <w:p w:rsidR="00C54F7C" w:rsidRPr="00C54F7C" w:rsidRDefault="00C54F7C" w:rsidP="004C6C2F">
      <w:pPr>
        <w:pStyle w:val="Style2"/>
        <w:tabs>
          <w:tab w:val="left" w:pos="401"/>
        </w:tabs>
        <w:spacing w:line="360" w:lineRule="auto"/>
        <w:jc w:val="both"/>
        <w:rPr>
          <w:rFonts w:ascii="Arial" w:hAnsi="Arial" w:cs="Arial"/>
          <w:sz w:val="24"/>
          <w:szCs w:val="24"/>
          <w:lang w:val="hr-HR" w:eastAsia="hr-HR" w:bidi="hr-HR"/>
        </w:rPr>
      </w:pPr>
      <w:r>
        <w:rPr>
          <w:rStyle w:val="CharStyle3"/>
          <w:rFonts w:ascii="Arial" w:hAnsi="Arial" w:cs="Arial"/>
          <w:sz w:val="24"/>
          <w:szCs w:val="24"/>
          <w:lang w:val="hr-HR" w:eastAsia="hr-HR" w:bidi="hr-HR"/>
        </w:rPr>
        <w:t>U slučaju nemogućnosti postupanja po zahtjevu u roku od 15 dana</w:t>
      </w:r>
      <w:r w:rsidR="00EE53F7">
        <w:rPr>
          <w:rStyle w:val="CharStyle3"/>
          <w:rFonts w:ascii="Arial" w:hAnsi="Arial" w:cs="Arial"/>
          <w:sz w:val="24"/>
          <w:szCs w:val="24"/>
          <w:lang w:val="hr-HR" w:eastAsia="hr-HR" w:bidi="hr-HR"/>
        </w:rPr>
        <w:t xml:space="preserve"> zbog objektivnih okolnosti, o tome je dužan obavijestiti podnosioca zahtjeva najkasnije 15. dan od dana prijema zahtjeva.</w:t>
      </w:r>
    </w:p>
    <w:p w:rsidR="00BE2458" w:rsidRPr="00C54F7C" w:rsidRDefault="00EE53F7" w:rsidP="004C6C2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</w:t>
      </w:r>
      <w:r w:rsidR="00C54F7C" w:rsidRPr="00C54F7C">
        <w:rPr>
          <w:rFonts w:ascii="Arial" w:hAnsi="Arial" w:cs="Arial"/>
          <w:sz w:val="24"/>
          <w:szCs w:val="24"/>
        </w:rPr>
        <w:t xml:space="preserve"> slučaju nepotpunog ili nerazumljivog zahtjeva, </w:t>
      </w:r>
      <w:r>
        <w:rPr>
          <w:rFonts w:ascii="Arial" w:hAnsi="Arial" w:cs="Arial"/>
          <w:sz w:val="24"/>
          <w:szCs w:val="24"/>
        </w:rPr>
        <w:t>zaposlenik Odjeljenja će</w:t>
      </w:r>
      <w:r w:rsidR="00C54F7C" w:rsidRPr="00C54F7C">
        <w:rPr>
          <w:rFonts w:ascii="Arial" w:hAnsi="Arial" w:cs="Arial"/>
          <w:sz w:val="24"/>
          <w:szCs w:val="24"/>
        </w:rPr>
        <w:t xml:space="preserve"> pozvat</w:t>
      </w:r>
      <w:r>
        <w:rPr>
          <w:rFonts w:ascii="Arial" w:hAnsi="Arial" w:cs="Arial"/>
          <w:sz w:val="24"/>
          <w:szCs w:val="24"/>
        </w:rPr>
        <w:t xml:space="preserve">i </w:t>
      </w:r>
      <w:r w:rsidR="00C54F7C" w:rsidRPr="00C54F7C">
        <w:rPr>
          <w:rFonts w:ascii="Arial" w:hAnsi="Arial" w:cs="Arial"/>
          <w:sz w:val="24"/>
          <w:szCs w:val="24"/>
        </w:rPr>
        <w:t xml:space="preserve"> podnosioca zahtjeva da ga ispravi u roku od pet dana od dana zaprimanja poziva za ispravku. Ako podnosilac zahtjeva ne ispravi zahtjev na odgovarajući način, a na osnovu dostavljenog se ne može sa sigurnošću utvrditi o kojoj traženoj informaciji je riječ, </w:t>
      </w:r>
      <w:r>
        <w:rPr>
          <w:rFonts w:ascii="Arial" w:hAnsi="Arial" w:cs="Arial"/>
          <w:sz w:val="24"/>
          <w:szCs w:val="24"/>
        </w:rPr>
        <w:t>Sud</w:t>
      </w:r>
      <w:r w:rsidR="00C54F7C" w:rsidRPr="00C54F7C">
        <w:rPr>
          <w:rFonts w:ascii="Arial" w:hAnsi="Arial" w:cs="Arial"/>
          <w:sz w:val="24"/>
          <w:szCs w:val="24"/>
        </w:rPr>
        <w:t xml:space="preserve"> će zaključkom odbaciti zahtjev kao neuredan. </w:t>
      </w:r>
    </w:p>
    <w:p w:rsidR="00F40EFB" w:rsidRPr="007E5992" w:rsidRDefault="00BE2458" w:rsidP="007E5992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7E5992">
        <w:rPr>
          <w:rFonts w:ascii="Arial" w:hAnsi="Arial" w:cs="Arial"/>
          <w:b/>
          <w:sz w:val="24"/>
          <w:szCs w:val="24"/>
        </w:rPr>
        <w:t xml:space="preserve">6.3 </w:t>
      </w:r>
      <w:r w:rsidR="00776ECE" w:rsidRPr="007E5992">
        <w:rPr>
          <w:rFonts w:ascii="Arial" w:hAnsi="Arial" w:cs="Arial"/>
          <w:b/>
          <w:sz w:val="24"/>
          <w:szCs w:val="24"/>
        </w:rPr>
        <w:t>Sedmični pregled aktivnosti Suda BiH</w:t>
      </w:r>
    </w:p>
    <w:p w:rsidR="00DE582D" w:rsidRPr="00C509EA" w:rsidRDefault="00451030" w:rsidP="004C6C2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509EA">
        <w:rPr>
          <w:rFonts w:ascii="Arial" w:hAnsi="Arial" w:cs="Arial"/>
          <w:sz w:val="24"/>
          <w:szCs w:val="24"/>
        </w:rPr>
        <w:t>Sud BiH svake sedmice distribuira sedmični pregled aktivnosti koji sadrži preglede svih bitnih promjena u predmetima, održanih ročišta i ostalih aktivnosti za proteklu sedmicu. Sedmični pregled aktivnosti se pored slanja zainteresiranim licima (mediji, državne i međunarodne institucije, advokati itd.) objavljuje i na web-stranicu Suda BiH na sva tri zvanična jezika u BiH, kao i na engleskom jeziku.</w:t>
      </w:r>
    </w:p>
    <w:p w:rsidR="00776ECE" w:rsidRPr="00EE53F7" w:rsidRDefault="00F40EFB" w:rsidP="004C6C2F">
      <w:pPr>
        <w:pStyle w:val="Heading2"/>
        <w:spacing w:line="360" w:lineRule="auto"/>
      </w:pPr>
      <w:bookmarkStart w:id="7" w:name="_Toc154667802"/>
      <w:r>
        <w:t xml:space="preserve">6.4. </w:t>
      </w:r>
      <w:r w:rsidR="00776ECE" w:rsidRPr="00EE53F7">
        <w:t>Saopćenja za javnost</w:t>
      </w:r>
      <w:bookmarkEnd w:id="7"/>
    </w:p>
    <w:p w:rsidR="001257B4" w:rsidRDefault="00C509EA" w:rsidP="004C6C2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Sud BiH</w:t>
      </w:r>
      <w:r w:rsidR="00451030" w:rsidRPr="00C509EA">
        <w:rPr>
          <w:rFonts w:ascii="Arial" w:hAnsi="Arial" w:cs="Arial"/>
          <w:sz w:val="24"/>
          <w:szCs w:val="24"/>
        </w:rPr>
        <w:t xml:space="preserve"> redovno distribuira saopćenja za javnost koja se odnose na predmete od javnog interesa Suda BiH u svim fazama postupka i na taj način doprinosi transparentnosti ove institucije. Saopćenja se, kao i sedmični pregled aktivnosti, pored slanja zainteresiranim licima (mediji, državne i međunarodne institucije, advokati itd.) objavljuju i na web-stranicu </w:t>
      </w:r>
      <w:r w:rsidR="00451030" w:rsidRPr="00D046DE">
        <w:rPr>
          <w:rFonts w:ascii="Arial" w:hAnsi="Arial" w:cs="Arial"/>
          <w:sz w:val="24"/>
          <w:szCs w:val="24"/>
        </w:rPr>
        <w:t>Suda BiH na sva tri zvanična jezika u BiH, kao i na engleskom jeziku.</w:t>
      </w:r>
    </w:p>
    <w:p w:rsidR="00100A60" w:rsidRDefault="00100A60" w:rsidP="004C6C2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F18B8" w:rsidRDefault="008F18B8" w:rsidP="004C6C2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43460" w:rsidRPr="00D046DE" w:rsidRDefault="00EE53F7" w:rsidP="004C6C2F">
      <w:pPr>
        <w:pStyle w:val="Heading2"/>
        <w:spacing w:line="360" w:lineRule="auto"/>
      </w:pPr>
      <w:bookmarkStart w:id="8" w:name="_Toc154667803"/>
      <w:r w:rsidRPr="00D046DE">
        <w:t>6.5</w:t>
      </w:r>
      <w:r w:rsidR="000455B8" w:rsidRPr="00D046DE">
        <w:t xml:space="preserve">. </w:t>
      </w:r>
      <w:r w:rsidR="001257B4" w:rsidRPr="00D046DE">
        <w:t>Konferencije za štampu, predavanja, izjave za medije, intervjui</w:t>
      </w:r>
      <w:bookmarkEnd w:id="8"/>
    </w:p>
    <w:p w:rsidR="001257B4" w:rsidRPr="00713A0C" w:rsidRDefault="001257B4" w:rsidP="004C6C2F">
      <w:pPr>
        <w:pStyle w:val="Style2"/>
        <w:tabs>
          <w:tab w:val="left" w:pos="401"/>
        </w:tabs>
        <w:spacing w:line="360" w:lineRule="auto"/>
        <w:jc w:val="both"/>
        <w:rPr>
          <w:rFonts w:ascii="Arial" w:hAnsi="Arial" w:cs="Arial"/>
          <w:sz w:val="24"/>
          <w:szCs w:val="24"/>
          <w:lang w:val="bs-Latn-BA"/>
        </w:rPr>
      </w:pPr>
      <w:r w:rsidRPr="00713A0C">
        <w:rPr>
          <w:rStyle w:val="CharStyle3"/>
          <w:rFonts w:ascii="Arial" w:hAnsi="Arial" w:cs="Arial"/>
          <w:sz w:val="24"/>
          <w:szCs w:val="24"/>
          <w:lang w:val="bs-Latn-BA"/>
        </w:rPr>
        <w:t>Odjeljenje za informisanje javnosti planira, te na osnovu saglasnosti i u skladu sa instrukcijama predsjednika Suda, u saradnji sa odgovarajućim odjeljenjima Suda organizira konferencije za štampu, odnosno učešće predstavnika Suda na javnim tribinama i drugim skupovima, u cilju upoznavanja zajednice sa aktivnostima i rezultatima rada Suda, pojašnjavanja različitih opštih pravnih instituta i prezentacije činjenica iz završenih predmeta.</w:t>
      </w:r>
    </w:p>
    <w:p w:rsidR="001257B4" w:rsidRPr="00713A0C" w:rsidRDefault="001257B4" w:rsidP="004C6C2F">
      <w:pPr>
        <w:pStyle w:val="Style2"/>
        <w:tabs>
          <w:tab w:val="left" w:pos="401"/>
        </w:tabs>
        <w:spacing w:line="360" w:lineRule="auto"/>
        <w:jc w:val="both"/>
        <w:rPr>
          <w:rFonts w:ascii="Arial" w:hAnsi="Arial" w:cs="Arial"/>
          <w:sz w:val="24"/>
          <w:szCs w:val="24"/>
          <w:lang w:val="bs-Latn-BA"/>
        </w:rPr>
      </w:pPr>
      <w:r w:rsidRPr="00713A0C">
        <w:rPr>
          <w:rStyle w:val="CharStyle3"/>
          <w:rFonts w:ascii="Arial" w:hAnsi="Arial" w:cs="Arial"/>
          <w:sz w:val="24"/>
          <w:szCs w:val="24"/>
          <w:lang w:val="bs-Latn-BA"/>
        </w:rPr>
        <w:t>Svrha konferencija za štampu, javnih tribina i drugih skupova je da se javnost upozna sa planovima, aktivnostima i rezultatima rada i problemima sa kojima se Sud suočava u svom radu, pojašnjavanje različitih opštih pravnih instituta u vezi kojih se pojavljuju nedoumice u javnosti, kao i prezentiranje činjenica iz predmeta koji su okončani pred Sudom.</w:t>
      </w:r>
    </w:p>
    <w:p w:rsidR="00730A88" w:rsidRPr="007E5992" w:rsidRDefault="001257B4" w:rsidP="004C6C2F">
      <w:pPr>
        <w:spacing w:line="360" w:lineRule="auto"/>
        <w:jc w:val="both"/>
        <w:rPr>
          <w:lang w:val="en-US"/>
        </w:rPr>
      </w:pPr>
      <w:r w:rsidRPr="00713A0C">
        <w:rPr>
          <w:rStyle w:val="CharStyle3"/>
          <w:rFonts w:ascii="Arial" w:hAnsi="Arial" w:cs="Arial"/>
          <w:sz w:val="24"/>
          <w:szCs w:val="24"/>
        </w:rPr>
        <w:t>Sud će inicirati i pomoći u organizaciji predavanja sudija Suda o značajnim temama iz oblasti pravosuđa na pravnim fakultetima i drugim obrazovnim institucijama.</w:t>
      </w:r>
      <w:r w:rsidR="00135181">
        <w:rPr>
          <w:rStyle w:val="CharStyle3"/>
          <w:rFonts w:ascii="Arial" w:hAnsi="Arial" w:cs="Arial"/>
          <w:sz w:val="24"/>
          <w:szCs w:val="24"/>
        </w:rPr>
        <w:t xml:space="preserve"> </w:t>
      </w:r>
      <w:r w:rsidR="002E68D4" w:rsidRPr="00D046DE">
        <w:rPr>
          <w:rFonts w:ascii="Arial" w:hAnsi="Arial" w:cs="Arial"/>
          <w:sz w:val="24"/>
          <w:szCs w:val="24"/>
        </w:rPr>
        <w:t>Predsjednik, sudije i drugi zaposlenici u cilju p</w:t>
      </w:r>
      <w:r w:rsidR="002E68D4" w:rsidRPr="002A4A35">
        <w:rPr>
          <w:rFonts w:ascii="Arial" w:hAnsi="Arial" w:cs="Arial"/>
          <w:sz w:val="24"/>
          <w:szCs w:val="24"/>
        </w:rPr>
        <w:t xml:space="preserve">redstavljanja Suda u javnosti </w:t>
      </w:r>
      <w:r w:rsidR="002A4A35" w:rsidRPr="002A4A35">
        <w:rPr>
          <w:rFonts w:ascii="Arial" w:hAnsi="Arial" w:cs="Arial"/>
          <w:sz w:val="24"/>
          <w:szCs w:val="24"/>
        </w:rPr>
        <w:t>obavljaju intervjue sa zainteresovanim licima</w:t>
      </w:r>
      <w:r w:rsidR="00EE4246">
        <w:rPr>
          <w:rFonts w:ascii="Arial" w:hAnsi="Arial" w:cs="Arial"/>
          <w:sz w:val="24"/>
          <w:szCs w:val="24"/>
        </w:rPr>
        <w:t xml:space="preserve"> i na taj način doprinos</w:t>
      </w:r>
      <w:r w:rsidR="002E68D4" w:rsidRPr="002A4A35">
        <w:rPr>
          <w:rFonts w:ascii="Arial" w:hAnsi="Arial" w:cs="Arial"/>
          <w:sz w:val="24"/>
          <w:szCs w:val="24"/>
        </w:rPr>
        <w:t xml:space="preserve">e transparentnosti ove institucije. </w:t>
      </w:r>
      <w:r w:rsidR="00451030" w:rsidRPr="002A4A35">
        <w:rPr>
          <w:rFonts w:ascii="Arial" w:hAnsi="Arial" w:cs="Arial"/>
          <w:sz w:val="24"/>
          <w:szCs w:val="24"/>
        </w:rPr>
        <w:t>Predstavnici Odjeljenja za informisanje javnosti</w:t>
      </w:r>
      <w:r w:rsidR="002E68D4" w:rsidRPr="002A4A35">
        <w:rPr>
          <w:rFonts w:ascii="Arial" w:hAnsi="Arial" w:cs="Arial"/>
          <w:sz w:val="24"/>
          <w:szCs w:val="24"/>
        </w:rPr>
        <w:t>, nakon saglasnosti predsjednika Suda,</w:t>
      </w:r>
      <w:r w:rsidR="00451030" w:rsidRPr="002A4A35">
        <w:rPr>
          <w:rFonts w:ascii="Arial" w:hAnsi="Arial" w:cs="Arial"/>
          <w:sz w:val="24"/>
          <w:szCs w:val="24"/>
        </w:rPr>
        <w:t xml:space="preserve"> koordiniraju organizaciju intervjua sa </w:t>
      </w:r>
      <w:r w:rsidR="002E68D4" w:rsidRPr="002A4A35">
        <w:rPr>
          <w:rFonts w:ascii="Arial" w:hAnsi="Arial" w:cs="Arial"/>
          <w:sz w:val="24"/>
          <w:szCs w:val="24"/>
        </w:rPr>
        <w:t xml:space="preserve">svim </w:t>
      </w:r>
      <w:r w:rsidR="00451030" w:rsidRPr="002A4A35">
        <w:rPr>
          <w:rFonts w:ascii="Arial" w:hAnsi="Arial" w:cs="Arial"/>
          <w:sz w:val="24"/>
          <w:szCs w:val="24"/>
        </w:rPr>
        <w:t>zaposlenicima Suda BiH</w:t>
      </w:r>
      <w:r w:rsidR="002E68D4" w:rsidRPr="002A4A35">
        <w:rPr>
          <w:rFonts w:ascii="Arial" w:hAnsi="Arial" w:cs="Arial"/>
          <w:sz w:val="24"/>
          <w:szCs w:val="24"/>
        </w:rPr>
        <w:t>.</w:t>
      </w:r>
    </w:p>
    <w:p w:rsidR="007673CD" w:rsidRPr="0075172E" w:rsidRDefault="00F40EFB" w:rsidP="004C6C2F">
      <w:pPr>
        <w:pStyle w:val="Heading2"/>
        <w:spacing w:line="360" w:lineRule="auto"/>
      </w:pPr>
      <w:bookmarkStart w:id="9" w:name="_Toc154667804"/>
      <w:r>
        <w:t xml:space="preserve">6.6. </w:t>
      </w:r>
      <w:r w:rsidR="007673CD" w:rsidRPr="0075172E">
        <w:t>Sudska praksa</w:t>
      </w:r>
      <w:bookmarkEnd w:id="9"/>
    </w:p>
    <w:p w:rsidR="00414207" w:rsidRPr="00B54483" w:rsidRDefault="007673CD" w:rsidP="004C6C2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Pored objavljivanja sudske prakse</w:t>
      </w:r>
      <w:r w:rsidR="00266267">
        <w:rPr>
          <w:rFonts w:ascii="Arial" w:hAnsi="Arial" w:cs="Arial"/>
          <w:sz w:val="24"/>
          <w:szCs w:val="24"/>
        </w:rPr>
        <w:t xml:space="preserve"> predmeta koji se vode pred Sudom BiH na web-stranici, </w:t>
      </w:r>
      <w:r w:rsidR="0044729A" w:rsidRPr="00EE53F7">
        <w:rPr>
          <w:rFonts w:ascii="Arial" w:hAnsi="Arial" w:cs="Arial"/>
          <w:sz w:val="24"/>
          <w:szCs w:val="24"/>
        </w:rPr>
        <w:t xml:space="preserve">Sud Bosne i Hercegovine je ove godine uspostavio </w:t>
      </w:r>
      <w:r w:rsidR="00F948BE" w:rsidRPr="00EE53F7">
        <w:rPr>
          <w:rFonts w:ascii="Arial" w:hAnsi="Arial" w:cs="Arial"/>
          <w:sz w:val="24"/>
          <w:szCs w:val="24"/>
        </w:rPr>
        <w:t>intern</w:t>
      </w:r>
      <w:r w:rsidR="0044729A" w:rsidRPr="00EE53F7">
        <w:rPr>
          <w:rFonts w:ascii="Arial" w:hAnsi="Arial" w:cs="Arial"/>
          <w:sz w:val="24"/>
          <w:szCs w:val="24"/>
        </w:rPr>
        <w:t>u</w:t>
      </w:r>
      <w:r w:rsidR="00F948BE" w:rsidRPr="00EE53F7">
        <w:rPr>
          <w:rFonts w:ascii="Arial" w:hAnsi="Arial" w:cs="Arial"/>
          <w:sz w:val="24"/>
          <w:szCs w:val="24"/>
        </w:rPr>
        <w:t xml:space="preserve"> baz</w:t>
      </w:r>
      <w:r w:rsidR="0044729A" w:rsidRPr="00EE53F7">
        <w:rPr>
          <w:rFonts w:ascii="Arial" w:hAnsi="Arial" w:cs="Arial"/>
          <w:sz w:val="24"/>
          <w:szCs w:val="24"/>
        </w:rPr>
        <w:t xml:space="preserve">u sudskih odluka Suda BiH. U </w:t>
      </w:r>
      <w:r w:rsidR="0044729A" w:rsidRPr="00F3215F">
        <w:rPr>
          <w:rFonts w:ascii="Arial" w:hAnsi="Arial" w:cs="Arial"/>
          <w:sz w:val="24"/>
          <w:szCs w:val="24"/>
        </w:rPr>
        <w:t>internoj bazi su</w:t>
      </w:r>
      <w:r w:rsidR="00F948BE" w:rsidRPr="00F3215F">
        <w:rPr>
          <w:rFonts w:ascii="Arial" w:hAnsi="Arial" w:cs="Arial"/>
          <w:sz w:val="24"/>
          <w:szCs w:val="24"/>
        </w:rPr>
        <w:t xml:space="preserve"> kroz opći i poseban</w:t>
      </w:r>
      <w:r w:rsidR="0044729A" w:rsidRPr="00B54483">
        <w:rPr>
          <w:rFonts w:ascii="Arial" w:hAnsi="Arial" w:cs="Arial"/>
          <w:sz w:val="24"/>
          <w:szCs w:val="24"/>
        </w:rPr>
        <w:t xml:space="preserve"> </w:t>
      </w:r>
      <w:r w:rsidR="00F948BE" w:rsidRPr="00B54483">
        <w:rPr>
          <w:rFonts w:ascii="Arial" w:hAnsi="Arial" w:cs="Arial"/>
          <w:sz w:val="24"/>
          <w:szCs w:val="24"/>
        </w:rPr>
        <w:t>registar odluka evidentira</w:t>
      </w:r>
      <w:r w:rsidR="0044729A" w:rsidRPr="00B54483">
        <w:rPr>
          <w:rFonts w:ascii="Arial" w:hAnsi="Arial" w:cs="Arial"/>
          <w:sz w:val="24"/>
          <w:szCs w:val="24"/>
        </w:rPr>
        <w:t>ne</w:t>
      </w:r>
      <w:r w:rsidR="00F948BE" w:rsidRPr="00B54483">
        <w:rPr>
          <w:rFonts w:ascii="Arial" w:hAnsi="Arial" w:cs="Arial"/>
          <w:sz w:val="24"/>
          <w:szCs w:val="24"/>
        </w:rPr>
        <w:t xml:space="preserve"> i</w:t>
      </w:r>
      <w:r w:rsidR="0044729A" w:rsidRPr="00B54483">
        <w:rPr>
          <w:rFonts w:ascii="Arial" w:hAnsi="Arial" w:cs="Arial"/>
          <w:sz w:val="24"/>
          <w:szCs w:val="24"/>
        </w:rPr>
        <w:t xml:space="preserve"> unesene sve odluke i zaključci </w:t>
      </w:r>
      <w:r w:rsidR="00F948BE" w:rsidRPr="00B54483">
        <w:rPr>
          <w:rFonts w:ascii="Arial" w:hAnsi="Arial" w:cs="Arial"/>
          <w:sz w:val="24"/>
          <w:szCs w:val="24"/>
        </w:rPr>
        <w:t>koji su od značaja za efikasan</w:t>
      </w:r>
      <w:r w:rsidR="0044729A" w:rsidRPr="00B54483">
        <w:rPr>
          <w:rFonts w:ascii="Arial" w:hAnsi="Arial" w:cs="Arial"/>
          <w:sz w:val="24"/>
          <w:szCs w:val="24"/>
        </w:rPr>
        <w:t xml:space="preserve"> </w:t>
      </w:r>
      <w:r w:rsidR="00F948BE" w:rsidRPr="00B54483">
        <w:rPr>
          <w:rFonts w:ascii="Arial" w:hAnsi="Arial" w:cs="Arial"/>
          <w:sz w:val="24"/>
          <w:szCs w:val="24"/>
        </w:rPr>
        <w:t>rad i praksu Suda BiH</w:t>
      </w:r>
      <w:r w:rsidR="0044729A" w:rsidRPr="00B54483">
        <w:rPr>
          <w:rFonts w:ascii="Arial" w:hAnsi="Arial" w:cs="Arial"/>
          <w:sz w:val="24"/>
          <w:szCs w:val="24"/>
        </w:rPr>
        <w:t xml:space="preserve">. </w:t>
      </w:r>
      <w:r w:rsidR="00F948BE" w:rsidRPr="00B54483">
        <w:rPr>
          <w:rFonts w:ascii="Arial" w:hAnsi="Arial" w:cs="Arial"/>
          <w:sz w:val="24"/>
          <w:szCs w:val="24"/>
        </w:rPr>
        <w:t xml:space="preserve"> </w:t>
      </w:r>
      <w:r w:rsidR="0008584C" w:rsidRPr="00B54483">
        <w:rPr>
          <w:rFonts w:ascii="Arial" w:hAnsi="Arial" w:cs="Arial"/>
          <w:sz w:val="24"/>
          <w:szCs w:val="24"/>
        </w:rPr>
        <w:t xml:space="preserve">Također, </w:t>
      </w:r>
      <w:r w:rsidR="0075172E">
        <w:rPr>
          <w:rFonts w:ascii="Arial" w:hAnsi="Arial" w:cs="Arial"/>
          <w:sz w:val="24"/>
          <w:szCs w:val="24"/>
        </w:rPr>
        <w:t>uspostavljenje ove baze je olakšalo angažman Suda BiH u provođenju projektne aktivnosti</w:t>
      </w:r>
      <w:r w:rsidR="00F948BE" w:rsidRPr="00B54483">
        <w:rPr>
          <w:rFonts w:ascii="Arial" w:hAnsi="Arial" w:cs="Arial"/>
          <w:sz w:val="24"/>
          <w:szCs w:val="24"/>
        </w:rPr>
        <w:t xml:space="preserve"> u okviru</w:t>
      </w:r>
      <w:r w:rsidR="0008584C" w:rsidRPr="00B54483">
        <w:rPr>
          <w:rFonts w:ascii="Arial" w:hAnsi="Arial" w:cs="Arial"/>
          <w:sz w:val="24"/>
          <w:szCs w:val="24"/>
        </w:rPr>
        <w:t xml:space="preserve"> </w:t>
      </w:r>
      <w:r w:rsidR="00F948BE" w:rsidRPr="004C180A">
        <w:rPr>
          <w:rFonts w:ascii="Arial" w:hAnsi="Arial" w:cs="Arial"/>
          <w:sz w:val="24"/>
          <w:szCs w:val="24"/>
        </w:rPr>
        <w:t>projekta „EU podrška reformama</w:t>
      </w:r>
      <w:r w:rsidR="0008584C" w:rsidRPr="004C180A">
        <w:rPr>
          <w:rFonts w:ascii="Arial" w:hAnsi="Arial" w:cs="Arial"/>
          <w:sz w:val="24"/>
          <w:szCs w:val="24"/>
        </w:rPr>
        <w:t xml:space="preserve"> </w:t>
      </w:r>
      <w:r w:rsidR="00F948BE" w:rsidRPr="004C180A">
        <w:rPr>
          <w:rFonts w:ascii="Arial" w:hAnsi="Arial" w:cs="Arial"/>
          <w:sz w:val="24"/>
          <w:szCs w:val="24"/>
        </w:rPr>
        <w:t>pravosudnog sistema u BiH“ – IPA</w:t>
      </w:r>
      <w:r w:rsidR="0008584C" w:rsidRPr="004C180A">
        <w:rPr>
          <w:rFonts w:ascii="Arial" w:hAnsi="Arial" w:cs="Arial"/>
          <w:sz w:val="24"/>
          <w:szCs w:val="24"/>
        </w:rPr>
        <w:t xml:space="preserve"> </w:t>
      </w:r>
      <w:r w:rsidR="00F948BE" w:rsidRPr="004C180A">
        <w:rPr>
          <w:rFonts w:ascii="Arial" w:hAnsi="Arial" w:cs="Arial"/>
          <w:sz w:val="24"/>
          <w:szCs w:val="24"/>
        </w:rPr>
        <w:t xml:space="preserve">2019, gdje je Sud BiH </w:t>
      </w:r>
      <w:r w:rsidR="0008584C" w:rsidRPr="004C180A">
        <w:rPr>
          <w:rFonts w:ascii="Arial" w:hAnsi="Arial" w:cs="Arial"/>
          <w:sz w:val="24"/>
          <w:szCs w:val="24"/>
        </w:rPr>
        <w:t xml:space="preserve">bio </w:t>
      </w:r>
      <w:r w:rsidR="00F948BE" w:rsidRPr="004C180A">
        <w:rPr>
          <w:rFonts w:ascii="Arial" w:hAnsi="Arial" w:cs="Arial"/>
          <w:sz w:val="24"/>
          <w:szCs w:val="24"/>
        </w:rPr>
        <w:t>jedan od</w:t>
      </w:r>
      <w:r w:rsidR="0008584C" w:rsidRPr="004C180A">
        <w:rPr>
          <w:rFonts w:ascii="Arial" w:hAnsi="Arial" w:cs="Arial"/>
          <w:sz w:val="24"/>
          <w:szCs w:val="24"/>
        </w:rPr>
        <w:t xml:space="preserve"> </w:t>
      </w:r>
      <w:r w:rsidR="00F948BE" w:rsidRPr="004C180A">
        <w:rPr>
          <w:rFonts w:ascii="Arial" w:hAnsi="Arial" w:cs="Arial"/>
          <w:sz w:val="24"/>
          <w:szCs w:val="24"/>
        </w:rPr>
        <w:t>potpisnika Sporazuma o saradnji,</w:t>
      </w:r>
      <w:r w:rsidR="0008584C" w:rsidRPr="00171891">
        <w:rPr>
          <w:rFonts w:ascii="Arial" w:hAnsi="Arial" w:cs="Arial"/>
          <w:sz w:val="24"/>
          <w:szCs w:val="24"/>
        </w:rPr>
        <w:t xml:space="preserve"> </w:t>
      </w:r>
      <w:r w:rsidR="00F948BE" w:rsidRPr="00171891">
        <w:rPr>
          <w:rFonts w:ascii="Arial" w:hAnsi="Arial" w:cs="Arial"/>
          <w:sz w:val="24"/>
          <w:szCs w:val="24"/>
        </w:rPr>
        <w:t>a u okviru kojeg je</w:t>
      </w:r>
      <w:r w:rsidR="00EE4246" w:rsidRPr="00171891">
        <w:rPr>
          <w:rFonts w:ascii="Arial" w:hAnsi="Arial" w:cs="Arial"/>
          <w:sz w:val="24"/>
          <w:szCs w:val="24"/>
        </w:rPr>
        <w:t xml:space="preserve"> </w:t>
      </w:r>
      <w:r w:rsidR="00F948BE" w:rsidRPr="00171891">
        <w:rPr>
          <w:rFonts w:ascii="Arial" w:hAnsi="Arial" w:cs="Arial"/>
          <w:sz w:val="24"/>
          <w:szCs w:val="24"/>
        </w:rPr>
        <w:t>uspostavljen i Portal sudske prakse</w:t>
      </w:r>
      <w:r w:rsidR="0008584C" w:rsidRPr="00E971D2">
        <w:rPr>
          <w:rFonts w:ascii="Arial" w:hAnsi="Arial" w:cs="Arial"/>
          <w:sz w:val="24"/>
          <w:szCs w:val="24"/>
        </w:rPr>
        <w:t xml:space="preserve"> </w:t>
      </w:r>
      <w:r w:rsidR="00F948BE" w:rsidRPr="00E971D2">
        <w:rPr>
          <w:rFonts w:ascii="Arial" w:hAnsi="Arial" w:cs="Arial"/>
          <w:sz w:val="24"/>
          <w:szCs w:val="24"/>
        </w:rPr>
        <w:t>(E-sentenca), kao platforma na</w:t>
      </w:r>
      <w:r w:rsidR="0008584C" w:rsidRPr="002B3637">
        <w:rPr>
          <w:rFonts w:ascii="Arial" w:hAnsi="Arial" w:cs="Arial"/>
          <w:sz w:val="24"/>
          <w:szCs w:val="24"/>
        </w:rPr>
        <w:t xml:space="preserve"> </w:t>
      </w:r>
      <w:r w:rsidR="00F948BE" w:rsidRPr="002B3637">
        <w:rPr>
          <w:rFonts w:ascii="Arial" w:hAnsi="Arial" w:cs="Arial"/>
          <w:sz w:val="24"/>
          <w:szCs w:val="24"/>
        </w:rPr>
        <w:t>kojoj se transparentno unosi</w:t>
      </w:r>
      <w:r w:rsidR="0008584C" w:rsidRPr="002B3637">
        <w:rPr>
          <w:rFonts w:ascii="Arial" w:hAnsi="Arial" w:cs="Arial"/>
          <w:sz w:val="24"/>
          <w:szCs w:val="24"/>
        </w:rPr>
        <w:t xml:space="preserve"> </w:t>
      </w:r>
      <w:r w:rsidR="00F948BE" w:rsidRPr="002B3637">
        <w:rPr>
          <w:rFonts w:ascii="Arial" w:hAnsi="Arial" w:cs="Arial"/>
          <w:sz w:val="24"/>
          <w:szCs w:val="24"/>
        </w:rPr>
        <w:t>praksa najviših sudova u Bosni i</w:t>
      </w:r>
      <w:r w:rsidR="0008584C" w:rsidRPr="00CA4ED1">
        <w:rPr>
          <w:rFonts w:ascii="Arial" w:hAnsi="Arial" w:cs="Arial"/>
          <w:sz w:val="24"/>
          <w:szCs w:val="24"/>
        </w:rPr>
        <w:t xml:space="preserve"> </w:t>
      </w:r>
      <w:r w:rsidR="00F948BE" w:rsidRPr="00CA4ED1">
        <w:rPr>
          <w:rFonts w:ascii="Arial" w:hAnsi="Arial" w:cs="Arial"/>
          <w:sz w:val="24"/>
          <w:szCs w:val="24"/>
        </w:rPr>
        <w:t>Hercegovini kroz izabrane pravne</w:t>
      </w:r>
      <w:r w:rsidR="0008584C" w:rsidRPr="00CA4ED1">
        <w:rPr>
          <w:rFonts w:ascii="Arial" w:hAnsi="Arial" w:cs="Arial"/>
          <w:sz w:val="24"/>
          <w:szCs w:val="24"/>
        </w:rPr>
        <w:t xml:space="preserve"> </w:t>
      </w:r>
      <w:r w:rsidR="00F948BE" w:rsidRPr="00CA4ED1">
        <w:rPr>
          <w:rFonts w:ascii="Arial" w:hAnsi="Arial" w:cs="Arial"/>
          <w:sz w:val="24"/>
          <w:szCs w:val="24"/>
        </w:rPr>
        <w:t>stavove izražene u sudskim</w:t>
      </w:r>
      <w:r w:rsidR="0008584C" w:rsidRPr="00CA4ED1">
        <w:rPr>
          <w:rFonts w:ascii="Arial" w:hAnsi="Arial" w:cs="Arial"/>
          <w:sz w:val="24"/>
          <w:szCs w:val="24"/>
        </w:rPr>
        <w:t xml:space="preserve"> </w:t>
      </w:r>
      <w:r w:rsidR="00F948BE" w:rsidRPr="00CA4ED1">
        <w:rPr>
          <w:rFonts w:ascii="Arial" w:hAnsi="Arial" w:cs="Arial"/>
          <w:sz w:val="24"/>
          <w:szCs w:val="24"/>
        </w:rPr>
        <w:t xml:space="preserve">odlukama </w:t>
      </w:r>
      <w:r w:rsidR="00F948BE" w:rsidRPr="009442AE">
        <w:rPr>
          <w:rFonts w:ascii="Arial" w:hAnsi="Arial" w:cs="Arial"/>
          <w:sz w:val="24"/>
          <w:szCs w:val="24"/>
        </w:rPr>
        <w:t>koje su izabrane kao</w:t>
      </w:r>
      <w:r w:rsidR="00EE4246" w:rsidRPr="009442AE">
        <w:rPr>
          <w:rFonts w:ascii="Arial" w:hAnsi="Arial" w:cs="Arial"/>
          <w:sz w:val="24"/>
          <w:szCs w:val="24"/>
        </w:rPr>
        <w:t xml:space="preserve"> </w:t>
      </w:r>
      <w:r w:rsidR="00F948BE" w:rsidRPr="00D046DE">
        <w:rPr>
          <w:rFonts w:ascii="Arial" w:hAnsi="Arial" w:cs="Arial"/>
          <w:sz w:val="24"/>
          <w:szCs w:val="24"/>
        </w:rPr>
        <w:t>bitne za pravnu zajednicu i javnost.</w:t>
      </w:r>
      <w:r w:rsidR="00B54483">
        <w:rPr>
          <w:rFonts w:ascii="Arial" w:hAnsi="Arial" w:cs="Arial"/>
          <w:sz w:val="24"/>
          <w:szCs w:val="24"/>
        </w:rPr>
        <w:t xml:space="preserve"> </w:t>
      </w:r>
    </w:p>
    <w:p w:rsidR="00084070" w:rsidRDefault="00084070" w:rsidP="004C6C2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5172E">
        <w:rPr>
          <w:rFonts w:ascii="Arial" w:hAnsi="Arial" w:cs="Arial"/>
          <w:sz w:val="24"/>
          <w:szCs w:val="24"/>
        </w:rPr>
        <w:t xml:space="preserve">Zaposlenici </w:t>
      </w:r>
      <w:r w:rsidR="00266267">
        <w:rPr>
          <w:rFonts w:ascii="Arial" w:hAnsi="Arial" w:cs="Arial"/>
          <w:sz w:val="24"/>
          <w:szCs w:val="24"/>
        </w:rPr>
        <w:t xml:space="preserve">i sudije </w:t>
      </w:r>
      <w:r w:rsidRPr="0075172E">
        <w:rPr>
          <w:rFonts w:ascii="Arial" w:hAnsi="Arial" w:cs="Arial"/>
          <w:sz w:val="24"/>
          <w:szCs w:val="24"/>
        </w:rPr>
        <w:t>Suda</w:t>
      </w:r>
      <w:r w:rsidR="00B54483">
        <w:rPr>
          <w:rFonts w:ascii="Arial" w:hAnsi="Arial" w:cs="Arial"/>
          <w:sz w:val="24"/>
          <w:szCs w:val="24"/>
        </w:rPr>
        <w:t xml:space="preserve"> BiH</w:t>
      </w:r>
      <w:r w:rsidRPr="0075172E">
        <w:rPr>
          <w:rFonts w:ascii="Arial" w:hAnsi="Arial" w:cs="Arial"/>
          <w:sz w:val="24"/>
          <w:szCs w:val="24"/>
        </w:rPr>
        <w:t xml:space="preserve"> su angažovani</w:t>
      </w:r>
      <w:r w:rsidR="00F948BE" w:rsidRPr="0075172E">
        <w:rPr>
          <w:rFonts w:ascii="Arial" w:hAnsi="Arial" w:cs="Arial"/>
          <w:sz w:val="24"/>
          <w:szCs w:val="24"/>
        </w:rPr>
        <w:t xml:space="preserve"> i na drugim</w:t>
      </w:r>
      <w:r w:rsidR="0008584C" w:rsidRPr="0075172E">
        <w:rPr>
          <w:rFonts w:ascii="Arial" w:hAnsi="Arial" w:cs="Arial"/>
          <w:sz w:val="24"/>
          <w:szCs w:val="24"/>
        </w:rPr>
        <w:t xml:space="preserve"> </w:t>
      </w:r>
      <w:r w:rsidR="00F948BE" w:rsidRPr="0075172E">
        <w:rPr>
          <w:rFonts w:ascii="Arial" w:hAnsi="Arial" w:cs="Arial"/>
          <w:sz w:val="24"/>
          <w:szCs w:val="24"/>
        </w:rPr>
        <w:t>aktivnostima koje doprinose</w:t>
      </w:r>
      <w:r w:rsidR="0008584C" w:rsidRPr="0075172E">
        <w:rPr>
          <w:rFonts w:ascii="Arial" w:hAnsi="Arial" w:cs="Arial"/>
          <w:sz w:val="24"/>
          <w:szCs w:val="24"/>
        </w:rPr>
        <w:t xml:space="preserve"> </w:t>
      </w:r>
      <w:r w:rsidR="00F948BE" w:rsidRPr="0075172E">
        <w:rPr>
          <w:rFonts w:ascii="Arial" w:hAnsi="Arial" w:cs="Arial"/>
          <w:sz w:val="24"/>
          <w:szCs w:val="24"/>
        </w:rPr>
        <w:t xml:space="preserve">efikasnom, pravednom </w:t>
      </w:r>
      <w:r w:rsidR="0008584C" w:rsidRPr="0075172E">
        <w:rPr>
          <w:rFonts w:ascii="Arial" w:hAnsi="Arial" w:cs="Arial"/>
          <w:sz w:val="24"/>
          <w:szCs w:val="24"/>
        </w:rPr>
        <w:t xml:space="preserve">i </w:t>
      </w:r>
      <w:r w:rsidR="00F948BE" w:rsidRPr="0075172E">
        <w:rPr>
          <w:rFonts w:ascii="Arial" w:hAnsi="Arial" w:cs="Arial"/>
          <w:sz w:val="24"/>
          <w:szCs w:val="24"/>
        </w:rPr>
        <w:t>transparentnom radu pravosuđa</w:t>
      </w:r>
      <w:r w:rsidR="0008584C" w:rsidRPr="0075172E">
        <w:rPr>
          <w:rFonts w:ascii="Arial" w:hAnsi="Arial" w:cs="Arial"/>
          <w:sz w:val="24"/>
          <w:szCs w:val="24"/>
        </w:rPr>
        <w:t xml:space="preserve"> </w:t>
      </w:r>
      <w:r w:rsidR="00F948BE" w:rsidRPr="0075172E">
        <w:rPr>
          <w:rFonts w:ascii="Arial" w:hAnsi="Arial" w:cs="Arial"/>
          <w:sz w:val="24"/>
          <w:szCs w:val="24"/>
        </w:rPr>
        <w:t>i ujednačavanju sudske prakse, a</w:t>
      </w:r>
      <w:r w:rsidR="0008584C" w:rsidRPr="0075172E">
        <w:rPr>
          <w:rFonts w:ascii="Arial" w:hAnsi="Arial" w:cs="Arial"/>
          <w:sz w:val="24"/>
          <w:szCs w:val="24"/>
        </w:rPr>
        <w:t xml:space="preserve"> </w:t>
      </w:r>
      <w:r w:rsidR="00F948BE" w:rsidRPr="0075172E">
        <w:rPr>
          <w:rFonts w:ascii="Arial" w:hAnsi="Arial" w:cs="Arial"/>
          <w:sz w:val="24"/>
          <w:szCs w:val="24"/>
        </w:rPr>
        <w:t>koje se odnose na kontinuirane</w:t>
      </w:r>
      <w:r w:rsidR="0008584C" w:rsidRPr="0075172E">
        <w:rPr>
          <w:rFonts w:ascii="Arial" w:hAnsi="Arial" w:cs="Arial"/>
          <w:sz w:val="24"/>
          <w:szCs w:val="24"/>
        </w:rPr>
        <w:t xml:space="preserve"> </w:t>
      </w:r>
      <w:r w:rsidR="00F948BE" w:rsidRPr="0075172E">
        <w:rPr>
          <w:rFonts w:ascii="Arial" w:hAnsi="Arial" w:cs="Arial"/>
          <w:sz w:val="24"/>
          <w:szCs w:val="24"/>
        </w:rPr>
        <w:t>aktivnosti u praćenju evropskih</w:t>
      </w:r>
      <w:r w:rsidR="0008584C" w:rsidRPr="0075172E">
        <w:rPr>
          <w:rFonts w:ascii="Arial" w:hAnsi="Arial" w:cs="Arial"/>
          <w:sz w:val="24"/>
          <w:szCs w:val="24"/>
        </w:rPr>
        <w:t xml:space="preserve"> </w:t>
      </w:r>
      <w:r w:rsidR="00F948BE" w:rsidRPr="0075172E">
        <w:rPr>
          <w:rFonts w:ascii="Arial" w:hAnsi="Arial" w:cs="Arial"/>
          <w:sz w:val="24"/>
          <w:szCs w:val="24"/>
        </w:rPr>
        <w:t>standarda i prakse Evropskog</w:t>
      </w:r>
      <w:r w:rsidR="0008584C" w:rsidRPr="0075172E">
        <w:rPr>
          <w:rFonts w:ascii="Arial" w:hAnsi="Arial" w:cs="Arial"/>
          <w:sz w:val="24"/>
          <w:szCs w:val="24"/>
        </w:rPr>
        <w:t xml:space="preserve"> </w:t>
      </w:r>
      <w:r w:rsidR="00F948BE" w:rsidRPr="0075172E">
        <w:rPr>
          <w:rFonts w:ascii="Arial" w:hAnsi="Arial" w:cs="Arial"/>
          <w:sz w:val="24"/>
          <w:szCs w:val="24"/>
        </w:rPr>
        <w:t>suda za ljudska praksa, Ustavnog</w:t>
      </w:r>
      <w:r w:rsidR="0008584C" w:rsidRPr="0075172E">
        <w:rPr>
          <w:rFonts w:ascii="Arial" w:hAnsi="Arial" w:cs="Arial"/>
          <w:sz w:val="24"/>
          <w:szCs w:val="24"/>
        </w:rPr>
        <w:t xml:space="preserve"> </w:t>
      </w:r>
      <w:r w:rsidR="00F948BE" w:rsidRPr="0075172E">
        <w:rPr>
          <w:rFonts w:ascii="Arial" w:hAnsi="Arial" w:cs="Arial"/>
          <w:sz w:val="24"/>
          <w:szCs w:val="24"/>
        </w:rPr>
        <w:t>suda BiH i prakse najviših sudova,</w:t>
      </w:r>
      <w:r w:rsidRPr="0075172E">
        <w:rPr>
          <w:rFonts w:ascii="Arial" w:hAnsi="Arial" w:cs="Arial"/>
          <w:sz w:val="24"/>
          <w:szCs w:val="24"/>
        </w:rPr>
        <w:t xml:space="preserve"> </w:t>
      </w:r>
      <w:r w:rsidR="00F948BE" w:rsidRPr="0075172E">
        <w:rPr>
          <w:rFonts w:ascii="Arial" w:hAnsi="Arial" w:cs="Arial"/>
          <w:sz w:val="24"/>
          <w:szCs w:val="24"/>
        </w:rPr>
        <w:t>evidentiranje i identifikovanje</w:t>
      </w:r>
      <w:r w:rsidR="0008584C" w:rsidRPr="0075172E">
        <w:rPr>
          <w:rFonts w:ascii="Arial" w:hAnsi="Arial" w:cs="Arial"/>
          <w:sz w:val="24"/>
          <w:szCs w:val="24"/>
        </w:rPr>
        <w:t xml:space="preserve"> </w:t>
      </w:r>
      <w:r w:rsidR="00F948BE" w:rsidRPr="0075172E">
        <w:rPr>
          <w:rFonts w:ascii="Arial" w:hAnsi="Arial" w:cs="Arial"/>
          <w:sz w:val="24"/>
          <w:szCs w:val="24"/>
        </w:rPr>
        <w:t>neujednačene sudske prakse kao</w:t>
      </w:r>
      <w:r w:rsidRPr="0075172E">
        <w:rPr>
          <w:rFonts w:ascii="Arial" w:hAnsi="Arial" w:cs="Arial"/>
          <w:sz w:val="24"/>
          <w:szCs w:val="24"/>
        </w:rPr>
        <w:t xml:space="preserve"> i </w:t>
      </w:r>
      <w:r w:rsidR="00F948BE" w:rsidRPr="0075172E">
        <w:rPr>
          <w:rFonts w:ascii="Arial" w:hAnsi="Arial" w:cs="Arial"/>
          <w:sz w:val="24"/>
          <w:szCs w:val="24"/>
        </w:rPr>
        <w:t>tema koje mogu biti nominovane</w:t>
      </w:r>
      <w:r w:rsidR="0008584C" w:rsidRPr="0075172E">
        <w:rPr>
          <w:rFonts w:ascii="Arial" w:hAnsi="Arial" w:cs="Arial"/>
          <w:sz w:val="24"/>
          <w:szCs w:val="24"/>
        </w:rPr>
        <w:t xml:space="preserve"> </w:t>
      </w:r>
      <w:r w:rsidR="00F948BE" w:rsidRPr="0075172E">
        <w:rPr>
          <w:rFonts w:ascii="Arial" w:hAnsi="Arial" w:cs="Arial"/>
          <w:sz w:val="24"/>
          <w:szCs w:val="24"/>
        </w:rPr>
        <w:t>za rad Panela za usaglašavanje</w:t>
      </w:r>
      <w:r w:rsidR="00EE53F7" w:rsidRPr="0075172E">
        <w:rPr>
          <w:rFonts w:ascii="Arial" w:hAnsi="Arial" w:cs="Arial"/>
          <w:sz w:val="24"/>
          <w:szCs w:val="24"/>
        </w:rPr>
        <w:t xml:space="preserve"> </w:t>
      </w:r>
      <w:r w:rsidR="00F948BE" w:rsidRPr="0075172E">
        <w:rPr>
          <w:rFonts w:ascii="Arial" w:hAnsi="Arial" w:cs="Arial"/>
          <w:sz w:val="24"/>
          <w:szCs w:val="24"/>
        </w:rPr>
        <w:t>sudske prakse, nominovanje</w:t>
      </w:r>
      <w:r w:rsidR="0008584C" w:rsidRPr="0075172E">
        <w:rPr>
          <w:rFonts w:ascii="Arial" w:hAnsi="Arial" w:cs="Arial"/>
          <w:sz w:val="24"/>
          <w:szCs w:val="24"/>
        </w:rPr>
        <w:t xml:space="preserve"> </w:t>
      </w:r>
      <w:r w:rsidR="00F948BE" w:rsidRPr="0075172E">
        <w:rPr>
          <w:rFonts w:ascii="Arial" w:hAnsi="Arial" w:cs="Arial"/>
          <w:sz w:val="24"/>
          <w:szCs w:val="24"/>
        </w:rPr>
        <w:t>odluka za Bilten Suda BiH,</w:t>
      </w:r>
      <w:r w:rsidR="0008584C" w:rsidRPr="0075172E">
        <w:rPr>
          <w:rFonts w:ascii="Arial" w:hAnsi="Arial" w:cs="Arial"/>
          <w:sz w:val="24"/>
          <w:szCs w:val="24"/>
        </w:rPr>
        <w:t xml:space="preserve"> </w:t>
      </w:r>
      <w:r w:rsidR="00F948BE" w:rsidRPr="0075172E">
        <w:rPr>
          <w:rFonts w:ascii="Arial" w:hAnsi="Arial" w:cs="Arial"/>
          <w:sz w:val="24"/>
          <w:szCs w:val="24"/>
        </w:rPr>
        <w:t>istraživanja za Evropski sud za</w:t>
      </w:r>
      <w:r w:rsidR="0008584C" w:rsidRPr="0075172E">
        <w:rPr>
          <w:rFonts w:ascii="Arial" w:hAnsi="Arial" w:cs="Arial"/>
          <w:sz w:val="24"/>
          <w:szCs w:val="24"/>
        </w:rPr>
        <w:t xml:space="preserve"> </w:t>
      </w:r>
      <w:r w:rsidR="00F948BE" w:rsidRPr="0075172E">
        <w:rPr>
          <w:rFonts w:ascii="Arial" w:hAnsi="Arial" w:cs="Arial"/>
          <w:sz w:val="24"/>
          <w:szCs w:val="24"/>
        </w:rPr>
        <w:t>ljudska prava kroz Mrežu sudova</w:t>
      </w:r>
      <w:r w:rsidR="0008584C" w:rsidRPr="0075172E">
        <w:rPr>
          <w:rFonts w:ascii="Arial" w:hAnsi="Arial" w:cs="Arial"/>
          <w:sz w:val="24"/>
          <w:szCs w:val="24"/>
        </w:rPr>
        <w:t xml:space="preserve"> </w:t>
      </w:r>
      <w:r w:rsidR="00F948BE" w:rsidRPr="0075172E">
        <w:rPr>
          <w:rFonts w:ascii="Arial" w:hAnsi="Arial" w:cs="Arial"/>
          <w:sz w:val="24"/>
          <w:szCs w:val="24"/>
        </w:rPr>
        <w:t>i druge aktivnosti koje su usko</w:t>
      </w:r>
      <w:r w:rsidR="0008584C" w:rsidRPr="0075172E">
        <w:rPr>
          <w:rFonts w:ascii="Arial" w:hAnsi="Arial" w:cs="Arial"/>
          <w:sz w:val="24"/>
          <w:szCs w:val="24"/>
        </w:rPr>
        <w:t xml:space="preserve"> </w:t>
      </w:r>
      <w:r w:rsidR="00F948BE" w:rsidRPr="0075172E">
        <w:rPr>
          <w:rFonts w:ascii="Arial" w:hAnsi="Arial" w:cs="Arial"/>
          <w:sz w:val="24"/>
          <w:szCs w:val="24"/>
        </w:rPr>
        <w:t>vezane za sudsku prasku.</w:t>
      </w:r>
      <w:r w:rsidR="0008584C" w:rsidRPr="0075172E">
        <w:rPr>
          <w:rFonts w:ascii="Arial" w:hAnsi="Arial" w:cs="Arial"/>
          <w:sz w:val="24"/>
          <w:szCs w:val="24"/>
        </w:rPr>
        <w:t xml:space="preserve"> </w:t>
      </w:r>
    </w:p>
    <w:p w:rsidR="00DE582D" w:rsidRDefault="00DE582D" w:rsidP="004C6C2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DE582D" w:rsidRPr="0075172E" w:rsidRDefault="00DE582D" w:rsidP="004C6C2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E5992">
        <w:rPr>
          <w:rFonts w:ascii="Arial" w:hAnsi="Arial" w:cs="Arial"/>
          <w:sz w:val="24"/>
          <w:szCs w:val="24"/>
        </w:rPr>
        <w:t>Sud Bosne i Hercegovine svake godine objavljuje i biltene sudske prakse Suda BiH. Bilteni sadrže izabrane pravne stavove ovog Suda iz oblasti krivičnog i upravnog prava, pravno mišljenje u pogledu neodređenih vrijednosti, kao zakonskih obilježja nekih krivičnih djela u Krivič</w:t>
      </w:r>
      <w:r w:rsidR="00565334" w:rsidRPr="007E5992">
        <w:rPr>
          <w:rFonts w:ascii="Arial" w:hAnsi="Arial" w:cs="Arial"/>
          <w:sz w:val="24"/>
          <w:szCs w:val="24"/>
        </w:rPr>
        <w:t>nom zakonu Bosne i Hercegovine te stručne radove.</w:t>
      </w:r>
    </w:p>
    <w:p w:rsidR="00084070" w:rsidRPr="0075172E" w:rsidRDefault="00084070" w:rsidP="004C6C2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8584C" w:rsidRDefault="00F948BE" w:rsidP="004C6C2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5172E">
        <w:rPr>
          <w:rFonts w:ascii="Arial" w:hAnsi="Arial" w:cs="Arial"/>
          <w:sz w:val="24"/>
          <w:szCs w:val="24"/>
        </w:rPr>
        <w:t>Sudije i stručno osoblje Suda</w:t>
      </w:r>
      <w:r w:rsidR="0008584C" w:rsidRPr="0075172E">
        <w:rPr>
          <w:rFonts w:ascii="Arial" w:hAnsi="Arial" w:cs="Arial"/>
          <w:sz w:val="24"/>
          <w:szCs w:val="24"/>
        </w:rPr>
        <w:t xml:space="preserve"> </w:t>
      </w:r>
      <w:r w:rsidRPr="0075172E">
        <w:rPr>
          <w:rFonts w:ascii="Arial" w:hAnsi="Arial" w:cs="Arial"/>
          <w:sz w:val="24"/>
          <w:szCs w:val="24"/>
        </w:rPr>
        <w:t>svake godine učestvuju na</w:t>
      </w:r>
      <w:r w:rsidR="0008584C" w:rsidRPr="0075172E">
        <w:rPr>
          <w:rFonts w:ascii="Arial" w:hAnsi="Arial" w:cs="Arial"/>
          <w:sz w:val="24"/>
          <w:szCs w:val="24"/>
        </w:rPr>
        <w:t xml:space="preserve"> </w:t>
      </w:r>
      <w:r w:rsidRPr="0075172E">
        <w:rPr>
          <w:rFonts w:ascii="Arial" w:hAnsi="Arial" w:cs="Arial"/>
          <w:sz w:val="24"/>
          <w:szCs w:val="24"/>
        </w:rPr>
        <w:t>savjetovanjima koja traju</w:t>
      </w:r>
      <w:r w:rsidR="0008584C" w:rsidRPr="0075172E">
        <w:rPr>
          <w:rFonts w:ascii="Arial" w:hAnsi="Arial" w:cs="Arial"/>
          <w:sz w:val="24"/>
          <w:szCs w:val="24"/>
        </w:rPr>
        <w:t xml:space="preserve"> </w:t>
      </w:r>
      <w:r w:rsidRPr="0075172E">
        <w:rPr>
          <w:rFonts w:ascii="Arial" w:hAnsi="Arial" w:cs="Arial"/>
          <w:sz w:val="24"/>
          <w:szCs w:val="24"/>
        </w:rPr>
        <w:t>nekoliko dana – sudijskim</w:t>
      </w:r>
      <w:r w:rsidR="0008584C" w:rsidRPr="0075172E">
        <w:rPr>
          <w:rFonts w:ascii="Arial" w:hAnsi="Arial" w:cs="Arial"/>
          <w:sz w:val="24"/>
          <w:szCs w:val="24"/>
        </w:rPr>
        <w:t xml:space="preserve"> </w:t>
      </w:r>
      <w:r w:rsidRPr="0075172E">
        <w:rPr>
          <w:rFonts w:ascii="Arial" w:hAnsi="Arial" w:cs="Arial"/>
          <w:sz w:val="24"/>
          <w:szCs w:val="24"/>
        </w:rPr>
        <w:t>koledžima, na kojima pored</w:t>
      </w:r>
      <w:r w:rsidR="0008584C" w:rsidRPr="0075172E">
        <w:rPr>
          <w:rFonts w:ascii="Arial" w:hAnsi="Arial" w:cs="Arial"/>
          <w:sz w:val="24"/>
          <w:szCs w:val="24"/>
        </w:rPr>
        <w:t xml:space="preserve"> </w:t>
      </w:r>
      <w:r w:rsidRPr="0075172E">
        <w:rPr>
          <w:rFonts w:ascii="Arial" w:hAnsi="Arial" w:cs="Arial"/>
          <w:sz w:val="24"/>
          <w:szCs w:val="24"/>
        </w:rPr>
        <w:t>gostujućih predavača i sudije</w:t>
      </w:r>
      <w:r w:rsidR="0008584C" w:rsidRPr="0075172E">
        <w:rPr>
          <w:rFonts w:ascii="Arial" w:hAnsi="Arial" w:cs="Arial"/>
          <w:sz w:val="24"/>
          <w:szCs w:val="24"/>
        </w:rPr>
        <w:t xml:space="preserve"> </w:t>
      </w:r>
      <w:r w:rsidRPr="0075172E">
        <w:rPr>
          <w:rFonts w:ascii="Arial" w:hAnsi="Arial" w:cs="Arial"/>
          <w:sz w:val="24"/>
          <w:szCs w:val="24"/>
        </w:rPr>
        <w:t>Suda BiH učestvuju kao</w:t>
      </w:r>
      <w:r w:rsidR="0008584C" w:rsidRPr="0075172E">
        <w:rPr>
          <w:rFonts w:ascii="Arial" w:hAnsi="Arial" w:cs="Arial"/>
          <w:sz w:val="24"/>
          <w:szCs w:val="24"/>
        </w:rPr>
        <w:t xml:space="preserve"> </w:t>
      </w:r>
      <w:r w:rsidRPr="0075172E">
        <w:rPr>
          <w:rFonts w:ascii="Arial" w:hAnsi="Arial" w:cs="Arial"/>
          <w:sz w:val="24"/>
          <w:szCs w:val="24"/>
        </w:rPr>
        <w:t>predavači o aktuelnim temama</w:t>
      </w:r>
      <w:r w:rsidR="0008584C" w:rsidRPr="0075172E">
        <w:rPr>
          <w:rFonts w:ascii="Arial" w:hAnsi="Arial" w:cs="Arial"/>
          <w:sz w:val="24"/>
          <w:szCs w:val="24"/>
        </w:rPr>
        <w:t xml:space="preserve"> </w:t>
      </w:r>
      <w:r w:rsidRPr="0075172E">
        <w:rPr>
          <w:rFonts w:ascii="Arial" w:hAnsi="Arial" w:cs="Arial"/>
          <w:sz w:val="24"/>
          <w:szCs w:val="24"/>
        </w:rPr>
        <w:t xml:space="preserve">iz prakse. </w:t>
      </w:r>
    </w:p>
    <w:p w:rsidR="004C6C2F" w:rsidRPr="00F3215F" w:rsidRDefault="004C6C2F" w:rsidP="004C6C2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51030" w:rsidRPr="00B54483" w:rsidRDefault="00EE53F7" w:rsidP="004C6C2F">
      <w:pPr>
        <w:pStyle w:val="Heading2"/>
        <w:spacing w:line="360" w:lineRule="auto"/>
      </w:pPr>
      <w:bookmarkStart w:id="10" w:name="_Toc154667805"/>
      <w:r w:rsidRPr="00B54483">
        <w:t>6.</w:t>
      </w:r>
      <w:r w:rsidR="00D827C9">
        <w:t>7</w:t>
      </w:r>
      <w:r w:rsidR="00451030" w:rsidRPr="00B54483">
        <w:t>. Posjete</w:t>
      </w:r>
      <w:bookmarkEnd w:id="10"/>
    </w:p>
    <w:p w:rsidR="00451030" w:rsidRPr="00CA4ED1" w:rsidRDefault="00451030" w:rsidP="004C6C2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54483">
        <w:rPr>
          <w:rFonts w:ascii="Arial" w:hAnsi="Arial" w:cs="Arial"/>
          <w:sz w:val="24"/>
          <w:szCs w:val="24"/>
        </w:rPr>
        <w:t xml:space="preserve">Sud Bosne i Hercegovine </w:t>
      </w:r>
      <w:r w:rsidR="00194BC3" w:rsidRPr="00B54483">
        <w:rPr>
          <w:rFonts w:ascii="Arial" w:hAnsi="Arial" w:cs="Arial"/>
          <w:sz w:val="24"/>
          <w:szCs w:val="24"/>
        </w:rPr>
        <w:t xml:space="preserve">u okviru svojih </w:t>
      </w:r>
      <w:r w:rsidR="002E68D4" w:rsidRPr="00B54483">
        <w:rPr>
          <w:rFonts w:ascii="Arial" w:hAnsi="Arial" w:cs="Arial"/>
          <w:sz w:val="24"/>
          <w:szCs w:val="24"/>
        </w:rPr>
        <w:t xml:space="preserve">redovnih </w:t>
      </w:r>
      <w:r w:rsidR="00194BC3" w:rsidRPr="00B54483">
        <w:rPr>
          <w:rFonts w:ascii="Arial" w:hAnsi="Arial" w:cs="Arial"/>
          <w:sz w:val="24"/>
          <w:szCs w:val="24"/>
        </w:rPr>
        <w:t>aktivnosti organizuje</w:t>
      </w:r>
      <w:r w:rsidRPr="004C180A">
        <w:rPr>
          <w:rFonts w:ascii="Arial" w:hAnsi="Arial" w:cs="Arial"/>
          <w:sz w:val="24"/>
          <w:szCs w:val="24"/>
        </w:rPr>
        <w:t xml:space="preserve"> posjete Sudu. Između ostalih, Sud </w:t>
      </w:r>
      <w:r w:rsidR="00194BC3" w:rsidRPr="004C180A">
        <w:rPr>
          <w:rFonts w:ascii="Arial" w:hAnsi="Arial" w:cs="Arial"/>
          <w:sz w:val="24"/>
          <w:szCs w:val="24"/>
        </w:rPr>
        <w:t>posjećuju</w:t>
      </w:r>
      <w:r w:rsidRPr="004C180A">
        <w:rPr>
          <w:rFonts w:ascii="Arial" w:hAnsi="Arial" w:cs="Arial"/>
          <w:sz w:val="24"/>
          <w:szCs w:val="24"/>
        </w:rPr>
        <w:t xml:space="preserve"> studenti raznih fakulteta širom svijeta i Bosne i Hercegovine</w:t>
      </w:r>
      <w:r w:rsidR="002E68D4" w:rsidRPr="00171891">
        <w:rPr>
          <w:rFonts w:ascii="Arial" w:hAnsi="Arial" w:cs="Arial"/>
          <w:sz w:val="24"/>
          <w:szCs w:val="24"/>
        </w:rPr>
        <w:t>, istraživači, zaposlenici određenih institucija itd</w:t>
      </w:r>
      <w:r w:rsidRPr="00171891">
        <w:rPr>
          <w:rFonts w:ascii="Arial" w:hAnsi="Arial" w:cs="Arial"/>
          <w:sz w:val="24"/>
          <w:szCs w:val="24"/>
        </w:rPr>
        <w:t xml:space="preserve">. Posjete imaju interaktivan </w:t>
      </w:r>
      <w:r w:rsidRPr="00E971D2">
        <w:rPr>
          <w:rFonts w:ascii="Arial" w:hAnsi="Arial" w:cs="Arial"/>
          <w:sz w:val="24"/>
          <w:szCs w:val="24"/>
        </w:rPr>
        <w:t>pristup gdje se posjetiocima omogućava postavljanje pitanja predstavnicima Suda</w:t>
      </w:r>
      <w:r w:rsidR="00194BC3" w:rsidRPr="00E971D2">
        <w:rPr>
          <w:rFonts w:ascii="Arial" w:hAnsi="Arial" w:cs="Arial"/>
          <w:sz w:val="24"/>
          <w:szCs w:val="24"/>
        </w:rPr>
        <w:t>, što dodatno doprinosi transparentnosti ove institucije.</w:t>
      </w:r>
    </w:p>
    <w:p w:rsidR="007F0F9F" w:rsidRPr="00EE53F7" w:rsidRDefault="00194BC3" w:rsidP="004C6C2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A4ED1">
        <w:rPr>
          <w:rFonts w:ascii="Arial" w:hAnsi="Arial" w:cs="Arial"/>
          <w:sz w:val="24"/>
          <w:szCs w:val="24"/>
        </w:rPr>
        <w:t>Predsjednik Suda je zajedno sa stručnim osobljem, između ostalog, ugošćava brojne strane delegacije, predstavnike domaćih</w:t>
      </w:r>
      <w:r w:rsidRPr="00EE53F7">
        <w:rPr>
          <w:rFonts w:ascii="Arial" w:hAnsi="Arial" w:cs="Arial"/>
          <w:sz w:val="24"/>
          <w:szCs w:val="24"/>
        </w:rPr>
        <w:t xml:space="preserve"> i međunarodnih institucija, ambasadore, nosioce pravosudnih funkcija iz raznih zemalja svijeta.</w:t>
      </w:r>
    </w:p>
    <w:p w:rsidR="00D827C9" w:rsidRDefault="007F0F9F" w:rsidP="004C6C2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E53F7">
        <w:rPr>
          <w:rFonts w:ascii="Arial" w:hAnsi="Arial" w:cs="Arial"/>
          <w:sz w:val="24"/>
          <w:szCs w:val="24"/>
        </w:rPr>
        <w:t>Unazad nekoliko godina u Sudu je omogućena i kraća studentska praksa (2-3 dana) studenata pravnih fakulteta kojima je to propisano planom i programom njihove visokoškolske ustanove.</w:t>
      </w:r>
      <w:r>
        <w:rPr>
          <w:rFonts w:ascii="Arial" w:hAnsi="Arial" w:cs="Arial"/>
          <w:sz w:val="24"/>
          <w:szCs w:val="24"/>
        </w:rPr>
        <w:t xml:space="preserve"> </w:t>
      </w:r>
    </w:p>
    <w:p w:rsidR="00EE5886" w:rsidRDefault="00655ECE" w:rsidP="004C6C2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F76FC">
        <w:rPr>
          <w:rFonts w:ascii="Arial" w:hAnsi="Arial" w:cs="Arial"/>
          <w:sz w:val="24"/>
          <w:szCs w:val="24"/>
        </w:rPr>
        <w:t xml:space="preserve">Sud će razmotriti mogućnost u cilju transparentnosti rada Suda </w:t>
      </w:r>
      <w:r w:rsidR="00EE5886">
        <w:rPr>
          <w:rFonts w:ascii="Arial" w:hAnsi="Arial" w:cs="Arial"/>
          <w:sz w:val="24"/>
          <w:szCs w:val="24"/>
        </w:rPr>
        <w:t xml:space="preserve">da </w:t>
      </w:r>
      <w:r w:rsidRPr="00EE5886">
        <w:rPr>
          <w:rFonts w:ascii="Arial" w:hAnsi="Arial" w:cs="Arial"/>
          <w:sz w:val="24"/>
          <w:szCs w:val="24"/>
        </w:rPr>
        <w:t>dva puta godišnje građanima</w:t>
      </w:r>
      <w:r w:rsidRPr="002F76FC">
        <w:rPr>
          <w:rFonts w:ascii="Arial" w:hAnsi="Arial" w:cs="Arial"/>
          <w:sz w:val="24"/>
          <w:szCs w:val="24"/>
        </w:rPr>
        <w:t xml:space="preserve"> omogući posjetu i upoznavanje sa radom Suda BiH, na način da se na web stranici Suda objave datumi obilaska i posjete Sudu BiH na koje s</w:t>
      </w:r>
      <w:r w:rsidR="00EE5886">
        <w:rPr>
          <w:rFonts w:ascii="Arial" w:hAnsi="Arial" w:cs="Arial"/>
          <w:sz w:val="24"/>
          <w:szCs w:val="24"/>
        </w:rPr>
        <w:t xml:space="preserve">e svaki građanin može prijaviti </w:t>
      </w:r>
      <w:r w:rsidRPr="002F76FC">
        <w:rPr>
          <w:rFonts w:ascii="Arial" w:hAnsi="Arial" w:cs="Arial"/>
          <w:sz w:val="24"/>
          <w:szCs w:val="24"/>
        </w:rPr>
        <w:t>(dani otvorenih vrata Suda BiH)</w:t>
      </w:r>
      <w:r w:rsidR="00EE5886">
        <w:rPr>
          <w:rFonts w:ascii="Arial" w:hAnsi="Arial" w:cs="Arial"/>
          <w:sz w:val="24"/>
          <w:szCs w:val="24"/>
        </w:rPr>
        <w:t xml:space="preserve">. </w:t>
      </w:r>
    </w:p>
    <w:p w:rsidR="00655ECE" w:rsidRPr="00C509EA" w:rsidRDefault="00EE5886" w:rsidP="004C6C2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Također, u predmetima gdje postoji veliki interes javnosti, u svakom pojedinačnom slučaju Sud će razmotriti mogućnost da se odobri audio-vide</w:t>
      </w:r>
      <w:r w:rsidR="006A3D79">
        <w:rPr>
          <w:rFonts w:ascii="Arial" w:hAnsi="Arial" w:cs="Arial"/>
          <w:sz w:val="24"/>
          <w:szCs w:val="24"/>
        </w:rPr>
        <w:t>o prijenos putem youtube kanala zainteresiranim stranama.</w:t>
      </w:r>
    </w:p>
    <w:p w:rsidR="00353A85" w:rsidRPr="00EE53F7" w:rsidRDefault="00D827C9" w:rsidP="004C6C2F">
      <w:pPr>
        <w:pStyle w:val="Heading2"/>
        <w:spacing w:line="360" w:lineRule="auto"/>
      </w:pPr>
      <w:bookmarkStart w:id="11" w:name="_Toc154667806"/>
      <w:r>
        <w:t xml:space="preserve">6.8. </w:t>
      </w:r>
      <w:r w:rsidR="00353A85" w:rsidRPr="00EE53F7">
        <w:t>Brošure</w:t>
      </w:r>
      <w:bookmarkEnd w:id="11"/>
    </w:p>
    <w:p w:rsidR="00F40EFB" w:rsidRPr="00C509EA" w:rsidRDefault="00353A85" w:rsidP="004C6C2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509EA">
        <w:rPr>
          <w:rFonts w:ascii="Arial" w:hAnsi="Arial" w:cs="Arial"/>
          <w:sz w:val="24"/>
          <w:szCs w:val="24"/>
        </w:rPr>
        <w:t>U saradnji sa drugim odjeljenjima i sudijama Sud redovno objavljuje informativne brošure</w:t>
      </w:r>
      <w:r w:rsidR="00084070">
        <w:rPr>
          <w:rFonts w:ascii="Arial" w:hAnsi="Arial" w:cs="Arial"/>
          <w:sz w:val="24"/>
          <w:szCs w:val="24"/>
        </w:rPr>
        <w:t xml:space="preserve">  sudske prakse Suda BiH, koje</w:t>
      </w:r>
      <w:r w:rsidRPr="00C509EA">
        <w:rPr>
          <w:rFonts w:ascii="Arial" w:hAnsi="Arial" w:cs="Arial"/>
          <w:sz w:val="24"/>
          <w:szCs w:val="24"/>
        </w:rPr>
        <w:t xml:space="preserve"> se mogu pronaći na web-stranici.</w:t>
      </w:r>
      <w:r w:rsidR="00084070">
        <w:rPr>
          <w:rFonts w:ascii="Arial" w:hAnsi="Arial" w:cs="Arial"/>
          <w:sz w:val="24"/>
          <w:szCs w:val="24"/>
        </w:rPr>
        <w:t xml:space="preserve"> Odjeljenje za informisanje javnosti svake godine identificira aktuelnu temu iz prakse Suda, koju potom u saradnji sa ostalim odjeljenjima formira u formi brošure.</w:t>
      </w:r>
    </w:p>
    <w:p w:rsidR="00870154" w:rsidRDefault="00EE53F7" w:rsidP="004C6C2F">
      <w:pPr>
        <w:pStyle w:val="Heading2"/>
        <w:spacing w:line="360" w:lineRule="auto"/>
      </w:pPr>
      <w:bookmarkStart w:id="12" w:name="_Toc154667807"/>
      <w:r w:rsidRPr="00333C96">
        <w:t>6.</w:t>
      </w:r>
      <w:r w:rsidR="00D827C9">
        <w:t>9</w:t>
      </w:r>
      <w:r w:rsidR="00870154" w:rsidRPr="00333C96">
        <w:t>. Društvene mreže</w:t>
      </w:r>
      <w:bookmarkEnd w:id="12"/>
    </w:p>
    <w:p w:rsidR="006F02F2" w:rsidRPr="006F02F2" w:rsidRDefault="00266267" w:rsidP="006F02F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333C96">
        <w:rPr>
          <w:rFonts w:ascii="Arial" w:hAnsi="Arial" w:cs="Arial"/>
          <w:sz w:val="24"/>
          <w:szCs w:val="24"/>
        </w:rPr>
        <w:t xml:space="preserve">Ukoliko za dobru transparentnost dosadašnji alati ne budu dovoljni, dakle ako se ukaže potreba, Sud BiH će razmotriti otvaranje profila na LinkedInu, najvećoj svjetskoj profesionalnoj mreži. </w:t>
      </w:r>
      <w:r w:rsidR="00E2003E" w:rsidRPr="00333C96">
        <w:rPr>
          <w:rFonts w:ascii="Arial" w:hAnsi="Arial" w:cs="Arial"/>
          <w:sz w:val="24"/>
          <w:szCs w:val="24"/>
        </w:rPr>
        <w:t>P</w:t>
      </w:r>
      <w:r w:rsidRPr="00333C96">
        <w:rPr>
          <w:rFonts w:ascii="Arial" w:hAnsi="Arial" w:cs="Arial"/>
          <w:sz w:val="24"/>
          <w:szCs w:val="24"/>
        </w:rPr>
        <w:t xml:space="preserve">rije toga bi se ispitali svi negativni i pozitivni aspekti formiranja profila na navedenoj mreži. Sud BiH će svakako pratiti praksu ostalih najviših sudova u </w:t>
      </w:r>
      <w:r w:rsidR="00956B7A" w:rsidRPr="00333C96">
        <w:rPr>
          <w:rFonts w:ascii="Arial" w:hAnsi="Arial" w:cs="Arial"/>
          <w:sz w:val="24"/>
          <w:szCs w:val="24"/>
        </w:rPr>
        <w:t xml:space="preserve">BiH kada su u pitanju društvene mreže. </w:t>
      </w:r>
    </w:p>
    <w:p w:rsidR="006A79B7" w:rsidRDefault="006A79B7" w:rsidP="006F02F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6A79B7" w:rsidRPr="002F76FC" w:rsidRDefault="006A79B7" w:rsidP="006A79B7">
      <w:pPr>
        <w:rPr>
          <w:rFonts w:ascii="Arial" w:hAnsi="Arial" w:cs="Arial"/>
          <w:b/>
          <w:sz w:val="24"/>
          <w:szCs w:val="24"/>
        </w:rPr>
      </w:pPr>
      <w:r w:rsidRPr="002F76FC">
        <w:rPr>
          <w:rFonts w:ascii="Arial" w:hAnsi="Arial" w:cs="Arial"/>
          <w:b/>
          <w:sz w:val="24"/>
          <w:szCs w:val="24"/>
        </w:rPr>
        <w:t xml:space="preserve">6.10. Objavljivanje sudskih odluka </w:t>
      </w:r>
    </w:p>
    <w:p w:rsidR="006F02F2" w:rsidRPr="006F02F2" w:rsidRDefault="006F02F2" w:rsidP="006F02F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2F76FC">
        <w:rPr>
          <w:rFonts w:ascii="Arial" w:hAnsi="Arial" w:cs="Arial"/>
          <w:sz w:val="24"/>
          <w:szCs w:val="24"/>
          <w:lang w:val="en-US"/>
        </w:rPr>
        <w:t>Objavljivanjem sudskih presuda, omogućuje se građanima uvid u rad  Suda BiH, čime se jača povjerenje u pravosudni sistem. Sud Bosne i Hercegovine objavljuje svoj odluke na web stranici Suda BiH, na Portalu sudske prakse u BiH  (e-sentenca) i u bazi Odjela za sudsku dokumentaciju i edukaciju.</w:t>
      </w:r>
    </w:p>
    <w:p w:rsidR="006F02F2" w:rsidRDefault="006F02F2" w:rsidP="004C6C2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730A88" w:rsidRPr="00EE53F7" w:rsidRDefault="00730A88" w:rsidP="008F18B8">
      <w:pPr>
        <w:pStyle w:val="Heading2"/>
        <w:numPr>
          <w:ilvl w:val="0"/>
          <w:numId w:val="18"/>
        </w:numPr>
        <w:spacing w:line="360" w:lineRule="auto"/>
      </w:pPr>
      <w:bookmarkStart w:id="13" w:name="_Toc154398999"/>
      <w:bookmarkStart w:id="14" w:name="_Toc154667808"/>
      <w:r w:rsidRPr="00EE53F7">
        <w:t>I</w:t>
      </w:r>
      <w:bookmarkEnd w:id="13"/>
      <w:r w:rsidR="00F40EFB">
        <w:t>NTERNA KOMUNIKACIJA</w:t>
      </w:r>
      <w:bookmarkEnd w:id="14"/>
    </w:p>
    <w:p w:rsidR="00730A88" w:rsidRPr="007E5992" w:rsidRDefault="00730A88" w:rsidP="007E599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E5992">
        <w:rPr>
          <w:rFonts w:ascii="Arial" w:hAnsi="Arial" w:cs="Arial"/>
          <w:sz w:val="24"/>
          <w:szCs w:val="24"/>
        </w:rPr>
        <w:t>Interna komunikacija nije jednokratna stvar, već stalni napor da se osigura učinkovita komunikacija. Odgovornost za razvoj interne komunikacije je na rukovodiocima odjeljenja. Postoji više vrsta interne komunikacije: komunikacija rukovodioca i zaposlenika unutar istog odjeljenja, zaposlenika unutar istog odjeljenja, rukovodioca različitih odjeljenja između sebe, a imajući u vidu i specifičnost institucije Suda BiH, komunikacija zaposlenika sa sudijama.</w:t>
      </w:r>
    </w:p>
    <w:p w:rsidR="00F40EFB" w:rsidRPr="007E5992" w:rsidRDefault="00730A88" w:rsidP="007E599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E5992">
        <w:rPr>
          <w:rFonts w:ascii="Arial" w:hAnsi="Arial" w:cs="Arial"/>
          <w:sz w:val="24"/>
          <w:szCs w:val="24"/>
        </w:rPr>
        <w:t>U Sudu Bosne i Hercegovine uposlenici se potiču na kulturu profesionalnog ophođenja. Interna komunikacija se vrši svakodnevno e-mailom i redovnim sastancima. Saradnici odjeljenja  svakodnevno obavještavaju stručne saradnike za odnose s javnošću o promjenama u predmetima na kojima rade, što je vrlo važno za uposlenike Odjeljenja za odnose s javnošću u daljoj komunikaciji sa javnosti. Uposlenici odjeljenja za odnose s javnošću svakodnevno komuniciraju i sa sudijama postupajući po zahtjevima za slobodan pristup informacijama.</w:t>
      </w:r>
    </w:p>
    <w:p w:rsidR="00730A88" w:rsidRPr="007E5992" w:rsidRDefault="00730A88" w:rsidP="004C6C2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70154" w:rsidRPr="002A4A35" w:rsidRDefault="002A4A35" w:rsidP="008F18B8">
      <w:pPr>
        <w:pStyle w:val="Heading1"/>
        <w:numPr>
          <w:ilvl w:val="0"/>
          <w:numId w:val="18"/>
        </w:numPr>
        <w:spacing w:line="360" w:lineRule="auto"/>
      </w:pPr>
      <w:bookmarkStart w:id="15" w:name="_Toc154667809"/>
      <w:r w:rsidRPr="002A4A35">
        <w:t>KRIZNO KOMUNICIRANJE</w:t>
      </w:r>
      <w:bookmarkEnd w:id="15"/>
    </w:p>
    <w:p w:rsidR="005F6FB9" w:rsidRPr="00C509EA" w:rsidRDefault="00353A85" w:rsidP="004C6C2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509EA">
        <w:rPr>
          <w:rFonts w:ascii="Arial" w:hAnsi="Arial" w:cs="Arial"/>
          <w:sz w:val="24"/>
          <w:szCs w:val="24"/>
        </w:rPr>
        <w:t xml:space="preserve">Kriza je stanje u kojoj se institucija nalazi zbog neplaniranog i iznenadnog događaja koji ozbiljno prijeti njenom ugledu i </w:t>
      </w:r>
      <w:r w:rsidR="005F6FB9" w:rsidRPr="00C509EA">
        <w:rPr>
          <w:rFonts w:ascii="Arial" w:hAnsi="Arial" w:cs="Arial"/>
          <w:sz w:val="24"/>
          <w:szCs w:val="24"/>
        </w:rPr>
        <w:t xml:space="preserve">reputaciji. Plan postupanja u ovim situacijama je od izuzetnog značaja kako bi se pravovremeno i na najbolji mogući način odreagovalo, a sve u cilju istinitog informisanja javnosti. </w:t>
      </w:r>
      <w:r w:rsidRPr="00C509EA">
        <w:rPr>
          <w:rFonts w:ascii="Arial" w:hAnsi="Arial" w:cs="Arial"/>
          <w:sz w:val="24"/>
          <w:szCs w:val="24"/>
        </w:rPr>
        <w:t xml:space="preserve">Krizne situacije su sastavni dio </w:t>
      </w:r>
      <w:r w:rsidR="005F6FB9" w:rsidRPr="00C509EA">
        <w:rPr>
          <w:rFonts w:ascii="Arial" w:hAnsi="Arial" w:cs="Arial"/>
          <w:sz w:val="24"/>
          <w:szCs w:val="24"/>
        </w:rPr>
        <w:t>radnog procesa</w:t>
      </w:r>
      <w:r w:rsidR="007E03D5" w:rsidRPr="00C509EA">
        <w:rPr>
          <w:rFonts w:ascii="Arial" w:hAnsi="Arial" w:cs="Arial"/>
          <w:sz w:val="24"/>
          <w:szCs w:val="24"/>
        </w:rPr>
        <w:t>, ali je u interesu institucije da se iste prevaziđu u najkraćem mogućem roku.</w:t>
      </w:r>
    </w:p>
    <w:p w:rsidR="00894DA2" w:rsidRDefault="00956B7A" w:rsidP="004C6C2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Krizni tim u Sudu Bosne i Hercegovine </w:t>
      </w:r>
      <w:r w:rsidR="00135181">
        <w:rPr>
          <w:rFonts w:ascii="Arial" w:hAnsi="Arial" w:cs="Arial"/>
          <w:sz w:val="24"/>
          <w:szCs w:val="24"/>
        </w:rPr>
        <w:t>čine</w:t>
      </w:r>
      <w:r>
        <w:rPr>
          <w:rFonts w:ascii="Arial" w:hAnsi="Arial" w:cs="Arial"/>
          <w:sz w:val="24"/>
          <w:szCs w:val="24"/>
        </w:rPr>
        <w:t xml:space="preserve"> predsjednik Suda, </w:t>
      </w:r>
      <w:r w:rsidR="00730A88">
        <w:rPr>
          <w:rFonts w:ascii="Arial" w:hAnsi="Arial" w:cs="Arial"/>
          <w:sz w:val="24"/>
          <w:szCs w:val="24"/>
        </w:rPr>
        <w:t xml:space="preserve">registrar Suda, </w:t>
      </w:r>
      <w:r>
        <w:rPr>
          <w:rFonts w:ascii="Arial" w:hAnsi="Arial" w:cs="Arial"/>
          <w:sz w:val="24"/>
          <w:szCs w:val="24"/>
        </w:rPr>
        <w:t xml:space="preserve">generalni sekretar, rukovodioci odjeljenja, a eventualnu podršku, u zavisnosti od potrebe, </w:t>
      </w:r>
      <w:r w:rsidR="00135181">
        <w:rPr>
          <w:rFonts w:ascii="Arial" w:hAnsi="Arial" w:cs="Arial"/>
          <w:sz w:val="24"/>
          <w:szCs w:val="24"/>
        </w:rPr>
        <w:t xml:space="preserve">pružaju </w:t>
      </w:r>
      <w:r>
        <w:rPr>
          <w:rFonts w:ascii="Arial" w:hAnsi="Arial" w:cs="Arial"/>
          <w:sz w:val="24"/>
          <w:szCs w:val="24"/>
        </w:rPr>
        <w:t>Odjeljenje za podršku svjedocima i Odjeljenje unutrašnje kontrole</w:t>
      </w:r>
      <w:r w:rsidR="00135181">
        <w:rPr>
          <w:rFonts w:ascii="Arial" w:hAnsi="Arial" w:cs="Arial"/>
          <w:sz w:val="24"/>
          <w:szCs w:val="24"/>
        </w:rPr>
        <w:t xml:space="preserve"> Suda BiH</w:t>
      </w:r>
      <w:r>
        <w:rPr>
          <w:rFonts w:ascii="Arial" w:hAnsi="Arial" w:cs="Arial"/>
          <w:sz w:val="24"/>
          <w:szCs w:val="24"/>
        </w:rPr>
        <w:t xml:space="preserve">. </w:t>
      </w:r>
    </w:p>
    <w:p w:rsidR="00353A85" w:rsidRPr="00C509EA" w:rsidRDefault="005F6FB9" w:rsidP="004C6C2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509EA">
        <w:rPr>
          <w:rFonts w:ascii="Arial" w:hAnsi="Arial" w:cs="Arial"/>
          <w:sz w:val="24"/>
          <w:szCs w:val="24"/>
        </w:rPr>
        <w:t xml:space="preserve">Kao jedno od najbitnijih postupanja je </w:t>
      </w:r>
      <w:r w:rsidRPr="00C509EA">
        <w:rPr>
          <w:rFonts w:ascii="Arial" w:hAnsi="Arial" w:cs="Arial"/>
          <w:sz w:val="24"/>
          <w:szCs w:val="24"/>
          <w:u w:val="single"/>
        </w:rPr>
        <w:t>prepoznavanje krize</w:t>
      </w:r>
      <w:r w:rsidR="00135181">
        <w:rPr>
          <w:rFonts w:ascii="Arial" w:hAnsi="Arial" w:cs="Arial"/>
          <w:sz w:val="24"/>
          <w:szCs w:val="24"/>
          <w:u w:val="single"/>
        </w:rPr>
        <w:t>.</w:t>
      </w:r>
    </w:p>
    <w:p w:rsidR="007E03D5" w:rsidRPr="002409D4" w:rsidRDefault="002409D4" w:rsidP="004C6C2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409D4">
        <w:rPr>
          <w:rFonts w:ascii="Arial" w:hAnsi="Arial" w:cs="Arial"/>
          <w:sz w:val="24"/>
          <w:szCs w:val="24"/>
        </w:rPr>
        <w:t>Zaposlenici Odjeljenja za informisanje javnosti će u okviru svojih svakodne</w:t>
      </w:r>
      <w:r w:rsidR="00DE582D">
        <w:rPr>
          <w:rFonts w:ascii="Arial" w:hAnsi="Arial" w:cs="Arial"/>
          <w:sz w:val="24"/>
          <w:szCs w:val="24"/>
        </w:rPr>
        <w:t>v</w:t>
      </w:r>
      <w:r w:rsidRPr="002409D4">
        <w:rPr>
          <w:rFonts w:ascii="Arial" w:hAnsi="Arial" w:cs="Arial"/>
          <w:sz w:val="24"/>
          <w:szCs w:val="24"/>
        </w:rPr>
        <w:t>nih obaveza pratiti printane i elektronske medije. Po</w:t>
      </w:r>
      <w:r>
        <w:rPr>
          <w:rFonts w:ascii="Arial" w:hAnsi="Arial" w:cs="Arial"/>
          <w:sz w:val="24"/>
          <w:szCs w:val="24"/>
        </w:rPr>
        <w:t xml:space="preserve"> procjeni o postojanju eventualne krize su</w:t>
      </w:r>
      <w:r w:rsidR="007E03D5" w:rsidRPr="002409D4">
        <w:rPr>
          <w:rFonts w:ascii="Arial" w:hAnsi="Arial" w:cs="Arial"/>
          <w:sz w:val="24"/>
          <w:szCs w:val="24"/>
        </w:rPr>
        <w:t xml:space="preserve"> dužni informisati predsjednika Suda</w:t>
      </w:r>
      <w:r>
        <w:rPr>
          <w:rFonts w:ascii="Arial" w:hAnsi="Arial" w:cs="Arial"/>
          <w:sz w:val="24"/>
          <w:szCs w:val="24"/>
        </w:rPr>
        <w:t>.</w:t>
      </w:r>
      <w:r w:rsidR="007E03D5" w:rsidRPr="002409D4">
        <w:rPr>
          <w:rFonts w:ascii="Arial" w:hAnsi="Arial" w:cs="Arial"/>
          <w:sz w:val="24"/>
          <w:szCs w:val="24"/>
        </w:rPr>
        <w:t xml:space="preserve"> </w:t>
      </w:r>
    </w:p>
    <w:p w:rsidR="007E03D5" w:rsidRPr="00C509EA" w:rsidRDefault="007E03D5" w:rsidP="004C6C2F">
      <w:pPr>
        <w:spacing w:line="36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C509EA">
        <w:rPr>
          <w:rFonts w:ascii="Arial" w:hAnsi="Arial" w:cs="Arial"/>
          <w:sz w:val="24"/>
          <w:szCs w:val="24"/>
          <w:u w:val="single"/>
        </w:rPr>
        <w:t>Način djelovanja i postupanje</w:t>
      </w:r>
    </w:p>
    <w:p w:rsidR="00870154" w:rsidRPr="00E040EE" w:rsidRDefault="00870154" w:rsidP="00E040EE">
      <w:pPr>
        <w:pStyle w:val="ListParagraph"/>
        <w:numPr>
          <w:ilvl w:val="0"/>
          <w:numId w:val="1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040EE">
        <w:rPr>
          <w:rFonts w:ascii="Arial" w:hAnsi="Arial" w:cs="Arial"/>
          <w:sz w:val="24"/>
          <w:szCs w:val="24"/>
        </w:rPr>
        <w:t xml:space="preserve">U saradnji sa predsjednikom Suda odlučiti da li i na koji način odreagovati </w:t>
      </w:r>
      <w:r w:rsidR="00894DA2" w:rsidRPr="00E040EE">
        <w:rPr>
          <w:rFonts w:ascii="Arial" w:hAnsi="Arial" w:cs="Arial"/>
          <w:sz w:val="24"/>
          <w:szCs w:val="24"/>
        </w:rPr>
        <w:t xml:space="preserve">na krizu </w:t>
      </w:r>
      <w:r w:rsidRPr="00E040EE">
        <w:rPr>
          <w:rFonts w:ascii="Arial" w:hAnsi="Arial" w:cs="Arial"/>
          <w:sz w:val="24"/>
          <w:szCs w:val="24"/>
        </w:rPr>
        <w:t>(saopštenje, izjave za medije, press konferencija i sl.)</w:t>
      </w:r>
    </w:p>
    <w:p w:rsidR="007E03D5" w:rsidRPr="00C509EA" w:rsidRDefault="007E03D5" w:rsidP="00E040EE">
      <w:pPr>
        <w:pStyle w:val="ListParagraph"/>
        <w:numPr>
          <w:ilvl w:val="0"/>
          <w:numId w:val="1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509EA">
        <w:rPr>
          <w:rFonts w:ascii="Arial" w:hAnsi="Arial" w:cs="Arial"/>
          <w:sz w:val="24"/>
          <w:szCs w:val="24"/>
        </w:rPr>
        <w:t>Utvrditi tačne informacije (sa sudijama i drugim osobljem)</w:t>
      </w:r>
    </w:p>
    <w:p w:rsidR="001B1B5C" w:rsidRPr="00C509EA" w:rsidRDefault="001B1B5C" w:rsidP="00E040EE">
      <w:pPr>
        <w:pStyle w:val="ListParagraph"/>
        <w:numPr>
          <w:ilvl w:val="0"/>
          <w:numId w:val="1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509EA">
        <w:rPr>
          <w:rFonts w:ascii="Arial" w:hAnsi="Arial" w:cs="Arial"/>
          <w:sz w:val="24"/>
          <w:szCs w:val="24"/>
        </w:rPr>
        <w:t>Tim se sastaje, nakon toga prezentuje predsjedniku i po njegovom odobrenju reaguje</w:t>
      </w:r>
    </w:p>
    <w:p w:rsidR="007E03D5" w:rsidRPr="00C509EA" w:rsidRDefault="007E03D5" w:rsidP="00E040EE">
      <w:pPr>
        <w:pStyle w:val="ListParagraph"/>
        <w:numPr>
          <w:ilvl w:val="0"/>
          <w:numId w:val="1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509EA">
        <w:rPr>
          <w:rFonts w:ascii="Arial" w:hAnsi="Arial" w:cs="Arial"/>
          <w:sz w:val="24"/>
          <w:szCs w:val="24"/>
        </w:rPr>
        <w:t>Brzina</w:t>
      </w:r>
      <w:r w:rsidR="0059196F" w:rsidRPr="00C509EA">
        <w:rPr>
          <w:rFonts w:ascii="Arial" w:hAnsi="Arial" w:cs="Arial"/>
          <w:sz w:val="24"/>
          <w:szCs w:val="24"/>
        </w:rPr>
        <w:t xml:space="preserve"> u cilju pravovremenog reagovanja</w:t>
      </w:r>
      <w:r w:rsidRPr="00C509EA">
        <w:rPr>
          <w:rFonts w:ascii="Arial" w:hAnsi="Arial" w:cs="Arial"/>
          <w:sz w:val="24"/>
          <w:szCs w:val="24"/>
        </w:rPr>
        <w:t xml:space="preserve"> </w:t>
      </w:r>
      <w:r w:rsidR="0059196F" w:rsidRPr="00C509EA">
        <w:rPr>
          <w:rFonts w:ascii="Arial" w:hAnsi="Arial" w:cs="Arial"/>
          <w:sz w:val="24"/>
          <w:szCs w:val="24"/>
        </w:rPr>
        <w:t>je</w:t>
      </w:r>
      <w:r w:rsidRPr="00C509EA">
        <w:rPr>
          <w:rFonts w:ascii="Arial" w:hAnsi="Arial" w:cs="Arial"/>
          <w:sz w:val="24"/>
          <w:szCs w:val="24"/>
        </w:rPr>
        <w:t xml:space="preserve"> </w:t>
      </w:r>
      <w:r w:rsidR="0059196F" w:rsidRPr="00C509EA">
        <w:rPr>
          <w:rFonts w:ascii="Arial" w:hAnsi="Arial" w:cs="Arial"/>
          <w:sz w:val="24"/>
          <w:szCs w:val="24"/>
        </w:rPr>
        <w:t>izuzetno</w:t>
      </w:r>
      <w:r w:rsidRPr="00C509EA">
        <w:rPr>
          <w:rFonts w:ascii="Arial" w:hAnsi="Arial" w:cs="Arial"/>
          <w:sz w:val="24"/>
          <w:szCs w:val="24"/>
        </w:rPr>
        <w:t xml:space="preserve"> bitan faktor</w:t>
      </w:r>
    </w:p>
    <w:p w:rsidR="00427EA5" w:rsidRPr="00C509EA" w:rsidRDefault="00427EA5" w:rsidP="00E040EE">
      <w:pPr>
        <w:pStyle w:val="ListParagraph"/>
        <w:numPr>
          <w:ilvl w:val="0"/>
          <w:numId w:val="1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509EA">
        <w:rPr>
          <w:rFonts w:ascii="Arial" w:hAnsi="Arial" w:cs="Arial"/>
          <w:sz w:val="24"/>
          <w:szCs w:val="24"/>
        </w:rPr>
        <w:t>Razdvojiti činjenice od mišljenja</w:t>
      </w:r>
    </w:p>
    <w:p w:rsidR="001B1B5C" w:rsidRPr="00C509EA" w:rsidRDefault="001B1B5C" w:rsidP="00E040EE">
      <w:pPr>
        <w:pStyle w:val="ListParagraph"/>
        <w:numPr>
          <w:ilvl w:val="0"/>
          <w:numId w:val="1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509EA">
        <w:rPr>
          <w:rFonts w:ascii="Arial" w:hAnsi="Arial" w:cs="Arial"/>
          <w:sz w:val="24"/>
          <w:szCs w:val="24"/>
        </w:rPr>
        <w:t>Dok traje kriza stručni saradnici za informisanje javnosti održavaju neprekidnu i kontinuiranu komunikaciju sa medijima</w:t>
      </w:r>
    </w:p>
    <w:p w:rsidR="00DE582D" w:rsidRDefault="00427EA5" w:rsidP="004C6C2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509EA">
        <w:rPr>
          <w:rFonts w:ascii="Arial" w:hAnsi="Arial" w:cs="Arial"/>
          <w:sz w:val="24"/>
          <w:szCs w:val="24"/>
        </w:rPr>
        <w:t xml:space="preserve">Krizni tim se sastaje odmah po saznanju da je nastupila krizna situacija ili se ista eventualno može predvidjeti (u roku od 24 sata), a koja bi mogla utjecati na stav javnosti o radu Suda. Ukoliko se ocijeni potrebnim, reakcija na krizu će uslijediti </w:t>
      </w:r>
      <w:r w:rsidR="002D0ADE">
        <w:rPr>
          <w:rFonts w:ascii="Arial" w:hAnsi="Arial" w:cs="Arial"/>
          <w:sz w:val="24"/>
          <w:szCs w:val="24"/>
        </w:rPr>
        <w:t>u najkraćem roku</w:t>
      </w:r>
      <w:r w:rsidRPr="00C509EA">
        <w:rPr>
          <w:rFonts w:ascii="Arial" w:hAnsi="Arial" w:cs="Arial"/>
          <w:sz w:val="24"/>
          <w:szCs w:val="24"/>
        </w:rPr>
        <w:t xml:space="preserve"> od trenutka kada je kriza nastupila</w:t>
      </w:r>
      <w:r w:rsidR="001B1B5C" w:rsidRPr="00C509EA">
        <w:rPr>
          <w:rFonts w:ascii="Arial" w:hAnsi="Arial" w:cs="Arial"/>
          <w:sz w:val="24"/>
          <w:szCs w:val="24"/>
        </w:rPr>
        <w:t>.</w:t>
      </w:r>
    </w:p>
    <w:p w:rsidR="00F40EFB" w:rsidRDefault="00F40EFB" w:rsidP="004C6C2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40EFB" w:rsidRDefault="00F40EFB" w:rsidP="004C6C2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40EFB" w:rsidRDefault="00F40EFB" w:rsidP="004C6C2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40EFB" w:rsidRDefault="00F40EFB" w:rsidP="004C6C2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40EFB" w:rsidRDefault="00F40EFB" w:rsidP="004C6C2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40EFB" w:rsidRDefault="00F40EFB" w:rsidP="004C6C2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40EFB" w:rsidRDefault="00F40EFB" w:rsidP="004C6C2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C7E3F" w:rsidRDefault="001C7E3F" w:rsidP="004C6C2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C7E3F" w:rsidRDefault="001C7E3F" w:rsidP="004C6C2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C7E3F" w:rsidRDefault="001C7E3F" w:rsidP="004C6C2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C7E3F" w:rsidRDefault="001C7E3F" w:rsidP="004C6C2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40EFB" w:rsidRPr="00C509EA" w:rsidRDefault="00F40EFB" w:rsidP="004C6C2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455B8" w:rsidRPr="002A4A35" w:rsidRDefault="002A4A35" w:rsidP="007E5992">
      <w:pPr>
        <w:pStyle w:val="Heading1"/>
        <w:numPr>
          <w:ilvl w:val="0"/>
          <w:numId w:val="14"/>
        </w:numPr>
        <w:spacing w:line="360" w:lineRule="auto"/>
      </w:pPr>
      <w:bookmarkStart w:id="16" w:name="_Toc154667810"/>
      <w:r w:rsidRPr="002A4A35">
        <w:t>IZVRŠITELJI KOMUNIKACIJSKE STRATEGIJE</w:t>
      </w:r>
      <w:bookmarkEnd w:id="16"/>
      <w:r w:rsidRPr="002A4A35">
        <w:t xml:space="preserve"> </w:t>
      </w:r>
    </w:p>
    <w:p w:rsidR="00D827C9" w:rsidRPr="007E5992" w:rsidRDefault="00D827C9" w:rsidP="007E599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E5992">
        <w:rPr>
          <w:rFonts w:ascii="Arial" w:hAnsi="Arial" w:cs="Arial"/>
          <w:sz w:val="24"/>
          <w:szCs w:val="24"/>
        </w:rPr>
        <w:t>Na osnovu člana 1. Poslovnika o radu Suda Bosne i Hercegovine (Službeni glasnik BiH, broj: 38/20 i 67/22), te Komunikacijske strategije, koju je usvojilo Visoko sudsko i tužilačko vijeće Bosne i Hercegovine, predsjednik Suda BiH je donio Odluku o imenovanju radne grupe za izradu i implementaciju Komunikacijske strategije Suda.</w:t>
      </w:r>
    </w:p>
    <w:p w:rsidR="00D827C9" w:rsidRDefault="00D827C9" w:rsidP="004C6C2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84070" w:rsidRDefault="00084070" w:rsidP="004C6C2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Izvršitelji Komunikacijske strategije </w:t>
      </w:r>
      <w:r w:rsidR="001E3CE0">
        <w:rPr>
          <w:rFonts w:ascii="Arial" w:hAnsi="Arial" w:cs="Arial"/>
          <w:sz w:val="24"/>
          <w:szCs w:val="24"/>
        </w:rPr>
        <w:t xml:space="preserve">koji čine tim Suda za odnose s javnošću i informisanje </w:t>
      </w:r>
      <w:r>
        <w:rPr>
          <w:rFonts w:ascii="Arial" w:hAnsi="Arial" w:cs="Arial"/>
          <w:sz w:val="24"/>
          <w:szCs w:val="24"/>
        </w:rPr>
        <w:t>Suda BiH su:</w:t>
      </w:r>
    </w:p>
    <w:p w:rsidR="00194BC3" w:rsidRPr="00C509EA" w:rsidRDefault="00194BC3" w:rsidP="004C6C2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509EA">
        <w:rPr>
          <w:rFonts w:ascii="Arial" w:hAnsi="Arial" w:cs="Arial"/>
          <w:sz w:val="24"/>
          <w:szCs w:val="24"/>
        </w:rPr>
        <w:t xml:space="preserve">a) predsjednik </w:t>
      </w:r>
      <w:r w:rsidR="003551B9" w:rsidRPr="00C509EA">
        <w:rPr>
          <w:rFonts w:ascii="Arial" w:hAnsi="Arial" w:cs="Arial"/>
          <w:sz w:val="24"/>
          <w:szCs w:val="24"/>
        </w:rPr>
        <w:t>Suda</w:t>
      </w:r>
      <w:r w:rsidR="00084070">
        <w:rPr>
          <w:rFonts w:ascii="Arial" w:hAnsi="Arial" w:cs="Arial"/>
          <w:sz w:val="24"/>
          <w:szCs w:val="24"/>
        </w:rPr>
        <w:t>;</w:t>
      </w:r>
    </w:p>
    <w:p w:rsidR="00194BC3" w:rsidRPr="00C509EA" w:rsidRDefault="00194BC3" w:rsidP="004C6C2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509EA">
        <w:rPr>
          <w:rFonts w:ascii="Arial" w:hAnsi="Arial" w:cs="Arial"/>
          <w:sz w:val="24"/>
          <w:szCs w:val="24"/>
        </w:rPr>
        <w:t>b) sudije</w:t>
      </w:r>
      <w:r w:rsidR="003551B9" w:rsidRPr="00C509EA">
        <w:rPr>
          <w:rFonts w:ascii="Arial" w:hAnsi="Arial" w:cs="Arial"/>
          <w:sz w:val="24"/>
          <w:szCs w:val="24"/>
        </w:rPr>
        <w:t xml:space="preserve"> Suda</w:t>
      </w:r>
      <w:r w:rsidR="00084070">
        <w:rPr>
          <w:rFonts w:ascii="Arial" w:hAnsi="Arial" w:cs="Arial"/>
          <w:sz w:val="24"/>
          <w:szCs w:val="24"/>
        </w:rPr>
        <w:t>;</w:t>
      </w:r>
    </w:p>
    <w:p w:rsidR="00194BC3" w:rsidRDefault="00194BC3" w:rsidP="004C6C2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509EA">
        <w:rPr>
          <w:rFonts w:ascii="Arial" w:hAnsi="Arial" w:cs="Arial"/>
          <w:sz w:val="24"/>
          <w:szCs w:val="24"/>
        </w:rPr>
        <w:t xml:space="preserve">c) registrar </w:t>
      </w:r>
      <w:r w:rsidR="003551B9" w:rsidRPr="00C509EA">
        <w:rPr>
          <w:rFonts w:ascii="Arial" w:hAnsi="Arial" w:cs="Arial"/>
          <w:sz w:val="24"/>
          <w:szCs w:val="24"/>
        </w:rPr>
        <w:t>Suda</w:t>
      </w:r>
      <w:r w:rsidR="00084070">
        <w:rPr>
          <w:rFonts w:ascii="Arial" w:hAnsi="Arial" w:cs="Arial"/>
          <w:sz w:val="24"/>
          <w:szCs w:val="24"/>
        </w:rPr>
        <w:t>;</w:t>
      </w:r>
    </w:p>
    <w:p w:rsidR="00956B7A" w:rsidRDefault="00956B7A" w:rsidP="004C6C2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d) generalni s</w:t>
      </w:r>
      <w:r w:rsidR="009401FF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kretar Suda;</w:t>
      </w:r>
    </w:p>
    <w:p w:rsidR="00194BC3" w:rsidRPr="00C509EA" w:rsidRDefault="004E3E5B" w:rsidP="004C6C2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e)</w:t>
      </w:r>
      <w:r w:rsidR="00194BC3" w:rsidRPr="00C509EA">
        <w:rPr>
          <w:rFonts w:ascii="Arial" w:hAnsi="Arial" w:cs="Arial"/>
          <w:sz w:val="24"/>
          <w:szCs w:val="24"/>
        </w:rPr>
        <w:t xml:space="preserve"> rukovodioci odjeljenja</w:t>
      </w:r>
      <w:r w:rsidR="00084070">
        <w:rPr>
          <w:rFonts w:ascii="Arial" w:hAnsi="Arial" w:cs="Arial"/>
          <w:sz w:val="24"/>
          <w:szCs w:val="24"/>
        </w:rPr>
        <w:t>;</w:t>
      </w:r>
    </w:p>
    <w:p w:rsidR="001E3CE0" w:rsidRDefault="004E3E5B" w:rsidP="004C6C2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</w:t>
      </w:r>
      <w:r w:rsidR="002E42D7" w:rsidRPr="00C509EA">
        <w:rPr>
          <w:rFonts w:ascii="Arial" w:hAnsi="Arial" w:cs="Arial"/>
          <w:sz w:val="24"/>
          <w:szCs w:val="24"/>
        </w:rPr>
        <w:t>) stručni saradnici za informisanje javnosti</w:t>
      </w:r>
      <w:r w:rsidR="00084070">
        <w:rPr>
          <w:rFonts w:ascii="Arial" w:hAnsi="Arial" w:cs="Arial"/>
          <w:sz w:val="24"/>
          <w:szCs w:val="24"/>
        </w:rPr>
        <w:t>.</w:t>
      </w:r>
    </w:p>
    <w:p w:rsidR="00084070" w:rsidRPr="007114CD" w:rsidRDefault="008E1BE5" w:rsidP="004C6C2F">
      <w:pPr>
        <w:spacing w:before="240" w:line="360" w:lineRule="auto"/>
        <w:jc w:val="both"/>
        <w:rPr>
          <w:rFonts w:ascii="Arial" w:hAnsi="Arial" w:cs="Arial"/>
          <w:sz w:val="24"/>
          <w:szCs w:val="24"/>
        </w:rPr>
      </w:pPr>
      <w:r w:rsidRPr="007114CD">
        <w:rPr>
          <w:rFonts w:ascii="Arial" w:hAnsi="Arial" w:cs="Arial"/>
          <w:sz w:val="24"/>
          <w:szCs w:val="24"/>
        </w:rPr>
        <w:t xml:space="preserve">Predsjednik Suda BiH ima vodeću ulogu u efikasnoj primjeni Komunikacijske strategije. Eksterna komunikacija mora biti odobrena od predsjednika Suda ili navedene odgovornosti mogu biti prenijete na registrara i sudije posebnim odlukama. </w:t>
      </w:r>
    </w:p>
    <w:p w:rsidR="009F39C9" w:rsidRPr="007114CD" w:rsidRDefault="008E1BE5" w:rsidP="004C6C2F">
      <w:pPr>
        <w:spacing w:before="240" w:line="360" w:lineRule="auto"/>
        <w:jc w:val="both"/>
        <w:rPr>
          <w:rFonts w:ascii="Arial" w:hAnsi="Arial" w:cs="Arial"/>
          <w:sz w:val="24"/>
          <w:szCs w:val="24"/>
        </w:rPr>
      </w:pPr>
      <w:r w:rsidRPr="007114CD">
        <w:rPr>
          <w:rFonts w:ascii="Arial" w:hAnsi="Arial" w:cs="Arial"/>
          <w:sz w:val="24"/>
          <w:szCs w:val="24"/>
        </w:rPr>
        <w:t xml:space="preserve">Ključne osobe za efikasnu provedbu Komunikacijske strategije su i sudije, registrar, rukovodioci odjeljenja i stručni saradnici za informisanje javnosti. </w:t>
      </w:r>
      <w:r w:rsidR="00C54129" w:rsidRPr="007114CD">
        <w:rPr>
          <w:rFonts w:ascii="Arial" w:hAnsi="Arial" w:cs="Arial"/>
          <w:sz w:val="24"/>
          <w:szCs w:val="24"/>
        </w:rPr>
        <w:t xml:space="preserve"> Stručni saradnici za informisanje javnosti su pravovremeno informisani o predmetima i aktivnostima koje su od javnog interesa</w:t>
      </w:r>
      <w:r w:rsidR="007A534A" w:rsidRPr="007114CD">
        <w:rPr>
          <w:rFonts w:ascii="Arial" w:hAnsi="Arial" w:cs="Arial"/>
          <w:sz w:val="24"/>
          <w:szCs w:val="24"/>
        </w:rPr>
        <w:t xml:space="preserve"> te, u skladu s procesnim zakoni</w:t>
      </w:r>
      <w:r w:rsidR="007114CD">
        <w:rPr>
          <w:rFonts w:ascii="Arial" w:hAnsi="Arial" w:cs="Arial"/>
          <w:sz w:val="24"/>
          <w:szCs w:val="24"/>
        </w:rPr>
        <w:t xml:space="preserve">ma, obavještavaju pravovremeno </w:t>
      </w:r>
      <w:r w:rsidR="007A534A" w:rsidRPr="007114CD">
        <w:rPr>
          <w:rFonts w:ascii="Arial" w:hAnsi="Arial" w:cs="Arial"/>
          <w:sz w:val="24"/>
          <w:szCs w:val="24"/>
        </w:rPr>
        <w:t xml:space="preserve"> javnost, održavaju redovnu komunikaciju sa medijima, vrše monitoring medijskog izvještavanja, prate provedbu Strategije i o tome izvještavaju predsjednika Suda.</w:t>
      </w:r>
    </w:p>
    <w:p w:rsidR="009F39C9" w:rsidRPr="007114CD" w:rsidRDefault="009F39C9" w:rsidP="004C6C2F">
      <w:pPr>
        <w:spacing w:before="240" w:line="360" w:lineRule="auto"/>
        <w:jc w:val="both"/>
        <w:rPr>
          <w:rFonts w:ascii="Arial" w:hAnsi="Arial" w:cs="Arial"/>
          <w:sz w:val="24"/>
          <w:szCs w:val="24"/>
        </w:rPr>
      </w:pPr>
      <w:r w:rsidRPr="007114CD">
        <w:rPr>
          <w:rFonts w:ascii="Arial" w:hAnsi="Arial" w:cs="Arial"/>
          <w:sz w:val="24"/>
          <w:szCs w:val="24"/>
        </w:rPr>
        <w:t>Za efikasan, blagovremen rad i ispunjavanje najboljih komunikacijskih praksi, stručni saradnici za informisanje javnosti treba biti u potpunosti informisan o svim strateškim odlukama Suda.</w:t>
      </w:r>
    </w:p>
    <w:p w:rsidR="00F40EFB" w:rsidRDefault="009F39C9" w:rsidP="004C6C2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114CD">
        <w:rPr>
          <w:rFonts w:ascii="Arial" w:hAnsi="Arial" w:cs="Arial"/>
          <w:sz w:val="24"/>
          <w:szCs w:val="24"/>
        </w:rPr>
        <w:t>Bitno je spomenuti da je, prema članu 24. Pravilnika o ostvarivanju pristupa informacijama pod kontrolom Suda BiH, formirana Komisija za informiranje javnosti i pitanja saradnje sa zajednicom. Komisija je nadležna za definiranje ciljeva Suda u oblasti informiranja javnosti i saradnje sa zajednicom, osmišljavanje i planiranje mehanizama za realizaciju tih ciljeva, podnošenje predsjedniku Suda prijedloga konkretnih mjera i aktivnosti kojima se imaju ostvariti utvrđeni ciljevi. Po dobijanju saglasnosti predsjednika Suda na predložene mjere i aktivnosti, Komisija za informiranje prati realizaciju istih od strane svih subjekata uključenih u navedeni proces, te pravi procjenu efekata preduzetih mjera i aktivnosti.</w:t>
      </w:r>
    </w:p>
    <w:p w:rsidR="00F40EFB" w:rsidRPr="007114CD" w:rsidRDefault="00F40EFB" w:rsidP="004C6C2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7A534A" w:rsidRPr="004D55D0" w:rsidRDefault="004E25C3" w:rsidP="007E5992">
      <w:pPr>
        <w:pStyle w:val="Heading1"/>
        <w:numPr>
          <w:ilvl w:val="0"/>
          <w:numId w:val="14"/>
        </w:numPr>
        <w:spacing w:line="360" w:lineRule="auto"/>
      </w:pPr>
      <w:bookmarkStart w:id="17" w:name="_Toc154667811"/>
      <w:r w:rsidRPr="004D55D0">
        <w:t>EVALUACIJA</w:t>
      </w:r>
      <w:bookmarkEnd w:id="17"/>
    </w:p>
    <w:p w:rsidR="00397DCD" w:rsidRPr="002D0ADE" w:rsidRDefault="004E25C3" w:rsidP="004C6C2F">
      <w:pPr>
        <w:tabs>
          <w:tab w:val="left" w:pos="1210"/>
        </w:tabs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2D0ADE">
        <w:rPr>
          <w:rFonts w:ascii="Arial" w:hAnsi="Arial" w:cs="Arial"/>
          <w:sz w:val="24"/>
          <w:szCs w:val="24"/>
        </w:rPr>
        <w:t>Po uzoru na Komunikacijsku strategi</w:t>
      </w:r>
      <w:r w:rsidR="00205083" w:rsidRPr="002D0ADE">
        <w:rPr>
          <w:rFonts w:ascii="Arial" w:hAnsi="Arial" w:cs="Arial"/>
          <w:sz w:val="24"/>
          <w:szCs w:val="24"/>
        </w:rPr>
        <w:t xml:space="preserve">ju Visokog sudskog i tužilačkog vijeća, Sud Bosne i Hercegovine će također cijeniti djelotvornost Strategije i mjeriti realizaciju aktivnosti koji su definisani i ostvarene rezultate u odnosu na postavljene ciljeve. Evaluacijom će se detektovati problemi u koliko ih bude, ali i pozitivne pojave tokom realizacije Strategije. </w:t>
      </w:r>
    </w:p>
    <w:p w:rsidR="00205083" w:rsidRPr="002D0ADE" w:rsidRDefault="004E25C3" w:rsidP="004C6C2F">
      <w:pPr>
        <w:tabs>
          <w:tab w:val="left" w:pos="1210"/>
        </w:tabs>
        <w:spacing w:after="120" w:line="360" w:lineRule="auto"/>
        <w:jc w:val="both"/>
        <w:rPr>
          <w:rFonts w:ascii="Arial" w:hAnsi="Arial" w:cs="Arial"/>
          <w:sz w:val="24"/>
          <w:szCs w:val="24"/>
          <w:highlight w:val="yellow"/>
        </w:rPr>
      </w:pPr>
      <w:r w:rsidRPr="002D0ADE">
        <w:rPr>
          <w:rFonts w:ascii="Arial" w:hAnsi="Arial" w:cs="Arial"/>
          <w:sz w:val="24"/>
          <w:szCs w:val="24"/>
        </w:rPr>
        <w:t>Praćenje ove Strategije bi</w:t>
      </w:r>
      <w:r w:rsidR="004D55D0" w:rsidRPr="002D0ADE">
        <w:rPr>
          <w:rFonts w:ascii="Arial" w:hAnsi="Arial" w:cs="Arial"/>
          <w:sz w:val="24"/>
          <w:szCs w:val="24"/>
        </w:rPr>
        <w:t xml:space="preserve">t </w:t>
      </w:r>
      <w:r w:rsidRPr="002D0ADE">
        <w:rPr>
          <w:rFonts w:ascii="Arial" w:hAnsi="Arial" w:cs="Arial"/>
          <w:sz w:val="24"/>
          <w:szCs w:val="24"/>
        </w:rPr>
        <w:t>će povjereno Radnoj grupi</w:t>
      </w:r>
      <w:r w:rsidR="00205083" w:rsidRPr="002D0ADE">
        <w:rPr>
          <w:rFonts w:ascii="Arial" w:hAnsi="Arial" w:cs="Arial"/>
          <w:sz w:val="24"/>
          <w:szCs w:val="24"/>
        </w:rPr>
        <w:t xml:space="preserve"> za izradu i implementaciju Komunikacijske strategije Suda. Grupa će </w:t>
      </w:r>
      <w:r w:rsidRPr="002D0ADE">
        <w:rPr>
          <w:rFonts w:ascii="Arial" w:hAnsi="Arial" w:cs="Arial"/>
          <w:sz w:val="24"/>
          <w:szCs w:val="24"/>
        </w:rPr>
        <w:t xml:space="preserve">analizirati postignuti napredak u realizaciji postavljenih ciljeva, te o tome izvještavati </w:t>
      </w:r>
      <w:r w:rsidR="00205083" w:rsidRPr="002D0ADE">
        <w:rPr>
          <w:rFonts w:ascii="Arial" w:hAnsi="Arial" w:cs="Arial"/>
          <w:sz w:val="24"/>
          <w:szCs w:val="24"/>
        </w:rPr>
        <w:t xml:space="preserve">predsjednika Suda BiH na polugodišnjoj osnovi. </w:t>
      </w:r>
    </w:p>
    <w:p w:rsidR="002D0ADE" w:rsidRPr="002D0ADE" w:rsidRDefault="004E25C3" w:rsidP="004C6C2F">
      <w:pPr>
        <w:tabs>
          <w:tab w:val="left" w:pos="1210"/>
        </w:tabs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2D0ADE">
        <w:rPr>
          <w:rFonts w:ascii="Arial" w:hAnsi="Arial" w:cs="Arial"/>
          <w:sz w:val="24"/>
          <w:szCs w:val="24"/>
        </w:rPr>
        <w:t>Radna grupa za evaluaciju Strategije vrši</w:t>
      </w:r>
      <w:r w:rsidR="004D55D0" w:rsidRPr="002D0ADE">
        <w:rPr>
          <w:rFonts w:ascii="Arial" w:hAnsi="Arial" w:cs="Arial"/>
          <w:sz w:val="24"/>
          <w:szCs w:val="24"/>
        </w:rPr>
        <w:t xml:space="preserve">t </w:t>
      </w:r>
      <w:r w:rsidRPr="002D0ADE">
        <w:rPr>
          <w:rFonts w:ascii="Arial" w:hAnsi="Arial" w:cs="Arial"/>
          <w:sz w:val="24"/>
          <w:szCs w:val="24"/>
        </w:rPr>
        <w:t xml:space="preserve">će monitoring i evaluaciju na osnovu aktivnosti i indikatora definisanih za svaki osnovni i specifični cilj na polugodišnjoj i godišnjoj osnovi, </w:t>
      </w:r>
      <w:r w:rsidR="00205083" w:rsidRPr="002D0ADE">
        <w:rPr>
          <w:rFonts w:ascii="Arial" w:hAnsi="Arial" w:cs="Arial"/>
          <w:sz w:val="24"/>
          <w:szCs w:val="24"/>
        </w:rPr>
        <w:t>dakle</w:t>
      </w:r>
      <w:r w:rsidRPr="002D0ADE">
        <w:rPr>
          <w:rFonts w:ascii="Arial" w:hAnsi="Arial" w:cs="Arial"/>
          <w:sz w:val="24"/>
          <w:szCs w:val="24"/>
        </w:rPr>
        <w:t xml:space="preserve"> po završetku predviđenog vremenskog okvira za realizaciju Strategije. Po potrebi </w:t>
      </w:r>
      <w:r w:rsidR="00205083" w:rsidRPr="002D0ADE">
        <w:rPr>
          <w:rFonts w:ascii="Arial" w:hAnsi="Arial" w:cs="Arial"/>
          <w:sz w:val="24"/>
          <w:szCs w:val="24"/>
        </w:rPr>
        <w:t>bit će</w:t>
      </w:r>
      <w:r w:rsidRPr="002D0ADE">
        <w:rPr>
          <w:rFonts w:ascii="Arial" w:hAnsi="Arial" w:cs="Arial"/>
          <w:sz w:val="24"/>
          <w:szCs w:val="24"/>
        </w:rPr>
        <w:t xml:space="preserve"> p</w:t>
      </w:r>
      <w:r w:rsidR="00205083" w:rsidRPr="002D0ADE">
        <w:rPr>
          <w:rFonts w:ascii="Arial" w:hAnsi="Arial" w:cs="Arial"/>
          <w:sz w:val="24"/>
          <w:szCs w:val="24"/>
        </w:rPr>
        <w:t>re</w:t>
      </w:r>
      <w:r w:rsidRPr="002D0ADE">
        <w:rPr>
          <w:rFonts w:ascii="Arial" w:hAnsi="Arial" w:cs="Arial"/>
          <w:sz w:val="24"/>
          <w:szCs w:val="24"/>
        </w:rPr>
        <w:t>duzima</w:t>
      </w:r>
      <w:r w:rsidR="00205083" w:rsidRPr="002D0ADE">
        <w:rPr>
          <w:rFonts w:ascii="Arial" w:hAnsi="Arial" w:cs="Arial"/>
          <w:sz w:val="24"/>
          <w:szCs w:val="24"/>
        </w:rPr>
        <w:t>ne</w:t>
      </w:r>
      <w:r w:rsidRPr="002D0ADE">
        <w:rPr>
          <w:rFonts w:ascii="Arial" w:hAnsi="Arial" w:cs="Arial"/>
          <w:sz w:val="24"/>
          <w:szCs w:val="24"/>
        </w:rPr>
        <w:t xml:space="preserve"> korektivne aktivnosti, ukoliko to određena dešavanja i promjene u okruženju budu zahtijevali. </w:t>
      </w:r>
    </w:p>
    <w:p w:rsidR="004D55D0" w:rsidRPr="002F76FC" w:rsidRDefault="004D55D0" w:rsidP="004C6C2F">
      <w:pPr>
        <w:tabs>
          <w:tab w:val="left" w:pos="1210"/>
        </w:tabs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2D0ADE">
        <w:rPr>
          <w:rFonts w:ascii="Arial" w:hAnsi="Arial" w:cs="Arial"/>
          <w:sz w:val="24"/>
          <w:szCs w:val="24"/>
        </w:rPr>
        <w:t xml:space="preserve">Evaluacijom će se dobiti odgovori na pitanja da li su ciljevi ostvareni, a samim tim </w:t>
      </w:r>
      <w:r w:rsidRPr="002F76FC">
        <w:rPr>
          <w:rFonts w:ascii="Arial" w:hAnsi="Arial" w:cs="Arial"/>
          <w:sz w:val="24"/>
          <w:szCs w:val="24"/>
        </w:rPr>
        <w:t xml:space="preserve">rezimirati dešavanja, što će postaviti osnov za narednu Komunikacijsku strategiju. </w:t>
      </w:r>
    </w:p>
    <w:p w:rsidR="006F02F2" w:rsidRPr="002D0ADE" w:rsidRDefault="006F02F2" w:rsidP="004C6C2F">
      <w:pPr>
        <w:tabs>
          <w:tab w:val="left" w:pos="1210"/>
        </w:tabs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2F76FC">
        <w:rPr>
          <w:rFonts w:ascii="Arial" w:hAnsi="Arial" w:cs="Arial"/>
          <w:sz w:val="24"/>
          <w:szCs w:val="24"/>
        </w:rPr>
        <w:t>Akcioni plan za izvršenje Komunikacijske strategije Suda BiH 2024.- 2025.godina biće donesen u prvom kvartalu 2024.godine.</w:t>
      </w:r>
    </w:p>
    <w:p w:rsidR="007A534A" w:rsidRPr="008E1BE5" w:rsidRDefault="007A534A" w:rsidP="004C6C2F">
      <w:pPr>
        <w:spacing w:before="240" w:line="36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sectPr w:rsidR="007A534A" w:rsidRPr="008E1BE5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41A5" w:rsidRDefault="006F41A5" w:rsidP="00D83E8C">
      <w:pPr>
        <w:spacing w:after="0" w:line="240" w:lineRule="auto"/>
      </w:pPr>
      <w:r>
        <w:separator/>
      </w:r>
    </w:p>
  </w:endnote>
  <w:endnote w:type="continuationSeparator" w:id="0">
    <w:p w:rsidR="006F41A5" w:rsidRDefault="006F41A5" w:rsidP="00D83E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3957159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F18B8" w:rsidRDefault="008F18B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A3D7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F18B8" w:rsidRDefault="008F18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41A5" w:rsidRDefault="006F41A5" w:rsidP="00D83E8C">
      <w:pPr>
        <w:spacing w:after="0" w:line="240" w:lineRule="auto"/>
      </w:pPr>
      <w:r>
        <w:separator/>
      </w:r>
    </w:p>
  </w:footnote>
  <w:footnote w:type="continuationSeparator" w:id="0">
    <w:p w:rsidR="006F41A5" w:rsidRDefault="006F41A5" w:rsidP="00D83E8C">
      <w:pPr>
        <w:spacing w:after="0" w:line="240" w:lineRule="auto"/>
      </w:pPr>
      <w:r>
        <w:continuationSeparator/>
      </w:r>
    </w:p>
  </w:footnote>
  <w:footnote w:id="1">
    <w:p w:rsidR="008F18B8" w:rsidRPr="00D83E8C" w:rsidRDefault="008F18B8">
      <w:pPr>
        <w:pStyle w:val="FootnoteText"/>
        <w:rPr>
          <w:rFonts w:ascii="Arial" w:hAnsi="Arial" w:cs="Arial"/>
          <w:sz w:val="22"/>
          <w:szCs w:val="22"/>
        </w:rPr>
      </w:pPr>
      <w:r w:rsidRPr="00D83E8C">
        <w:rPr>
          <w:rStyle w:val="FootnoteReference"/>
          <w:rFonts w:ascii="Arial" w:hAnsi="Arial" w:cs="Arial"/>
          <w:sz w:val="22"/>
          <w:szCs w:val="22"/>
        </w:rPr>
        <w:footnoteRef/>
      </w:r>
      <w:r w:rsidRPr="00D83E8C">
        <w:rPr>
          <w:rFonts w:ascii="Arial" w:hAnsi="Arial" w:cs="Arial"/>
          <w:sz w:val="22"/>
          <w:szCs w:val="22"/>
        </w:rPr>
        <w:t xml:space="preserve"> Dostupno na: </w:t>
      </w:r>
      <w:hyperlink r:id="rId1" w:history="1">
        <w:r w:rsidRPr="00D83E8C">
          <w:rPr>
            <w:rStyle w:val="Hyperlink"/>
            <w:rFonts w:ascii="Arial" w:hAnsi="Arial" w:cs="Arial"/>
            <w:color w:val="auto"/>
            <w:sz w:val="22"/>
            <w:szCs w:val="22"/>
          </w:rPr>
          <w:t>Indeks Pravosuđa (indekspravosudja.ba)</w:t>
        </w:r>
      </w:hyperlink>
      <w:r>
        <w:rPr>
          <w:rStyle w:val="Hyperlink"/>
          <w:rFonts w:ascii="Arial" w:hAnsi="Arial" w:cs="Arial"/>
          <w:color w:val="auto"/>
          <w:sz w:val="22"/>
          <w:szCs w:val="22"/>
        </w:rPr>
        <w:t>.</w:t>
      </w:r>
    </w:p>
  </w:footnote>
  <w:footnote w:id="2">
    <w:p w:rsidR="008F18B8" w:rsidRPr="00D83E8C" w:rsidRDefault="008F18B8" w:rsidP="00D83E8C">
      <w:pPr>
        <w:spacing w:line="276" w:lineRule="auto"/>
        <w:jc w:val="both"/>
        <w:rPr>
          <w:rFonts w:ascii="Arial" w:hAnsi="Arial" w:cs="Arial"/>
        </w:rPr>
      </w:pPr>
      <w:r w:rsidRPr="00D83E8C">
        <w:rPr>
          <w:rStyle w:val="FootnoteReference"/>
          <w:rFonts w:ascii="Arial" w:hAnsi="Arial" w:cs="Arial"/>
        </w:rPr>
        <w:footnoteRef/>
      </w:r>
      <w:r w:rsidRPr="00D83E8C">
        <w:rPr>
          <w:rFonts w:ascii="Arial" w:hAnsi="Arial" w:cs="Arial"/>
        </w:rPr>
        <w:t xml:space="preserve"> Dostupno na:</w:t>
      </w:r>
      <w:r>
        <w:rPr>
          <w:rFonts w:ascii="Arial" w:hAnsi="Arial" w:cs="Arial"/>
        </w:rPr>
        <w:t xml:space="preserve"> </w:t>
      </w:r>
      <w:hyperlink r:id="rId2" w:history="1">
        <w:r w:rsidRPr="00D83E8C">
          <w:rPr>
            <w:rStyle w:val="Hyperlink"/>
            <w:rFonts w:ascii="Arial" w:hAnsi="Arial" w:cs="Arial"/>
            <w:color w:val="auto"/>
          </w:rPr>
          <w:t>Transparentnost pravosudnih institucija - osvrt.pdf (analitika.ba)</w:t>
        </w:r>
      </w:hyperlink>
      <w:r>
        <w:rPr>
          <w:rStyle w:val="Hyperlink"/>
          <w:rFonts w:ascii="Arial" w:hAnsi="Arial" w:cs="Arial"/>
          <w:color w:val="auto"/>
        </w:rPr>
        <w:t>.</w:t>
      </w:r>
    </w:p>
    <w:p w:rsidR="008F18B8" w:rsidRDefault="008F18B8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919E6"/>
    <w:multiLevelType w:val="multilevel"/>
    <w:tmpl w:val="630E6E70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B3241DF"/>
    <w:multiLevelType w:val="multilevel"/>
    <w:tmpl w:val="994446DE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F6B1FAA"/>
    <w:multiLevelType w:val="multilevel"/>
    <w:tmpl w:val="EE6658BA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2C2E2E26"/>
    <w:multiLevelType w:val="hybridMultilevel"/>
    <w:tmpl w:val="1D0CD1A6"/>
    <w:lvl w:ilvl="0" w:tplc="7D7693E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563C1" w:themeColor="hyperlink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4B2973"/>
    <w:multiLevelType w:val="hybridMultilevel"/>
    <w:tmpl w:val="4B009FA0"/>
    <w:lvl w:ilvl="0" w:tplc="91C48BE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091F7D"/>
    <w:multiLevelType w:val="hybridMultilevel"/>
    <w:tmpl w:val="7736E632"/>
    <w:lvl w:ilvl="0" w:tplc="BBDA1A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7826C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0E46F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F3262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2F276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BF6F4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D88D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928CD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30CA4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34031B40"/>
    <w:multiLevelType w:val="hybridMultilevel"/>
    <w:tmpl w:val="ECD069E6"/>
    <w:lvl w:ilvl="0" w:tplc="C88C1C80">
      <w:start w:val="2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 w:tplc="35A0B24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395F44"/>
    <w:multiLevelType w:val="multilevel"/>
    <w:tmpl w:val="F3E404CC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9C62C6F"/>
    <w:multiLevelType w:val="multilevel"/>
    <w:tmpl w:val="CBC84CD0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3437BB3"/>
    <w:multiLevelType w:val="hybridMultilevel"/>
    <w:tmpl w:val="CC8A6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E95FD9"/>
    <w:multiLevelType w:val="multilevel"/>
    <w:tmpl w:val="FC1A111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ascii="Arial" w:hAnsi="Arial" w:cs="Arial" w:hint="default"/>
        <w:b/>
        <w:sz w:val="24"/>
        <w:szCs w:val="24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1" w15:restartNumberingAfterBreak="0">
    <w:nsid w:val="57354CF0"/>
    <w:multiLevelType w:val="hybridMultilevel"/>
    <w:tmpl w:val="8CC6FA70"/>
    <w:lvl w:ilvl="0" w:tplc="A9E4079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7826C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0E46F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F3262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2F276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BF6F4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D88D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928CD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30CA4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5CE92E7C"/>
    <w:multiLevelType w:val="hybridMultilevel"/>
    <w:tmpl w:val="E56059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754362"/>
    <w:multiLevelType w:val="multilevel"/>
    <w:tmpl w:val="97DEC210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326064C"/>
    <w:multiLevelType w:val="multilevel"/>
    <w:tmpl w:val="3DDC8C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694A1BB9"/>
    <w:multiLevelType w:val="hybridMultilevel"/>
    <w:tmpl w:val="6BD8B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6F2A79"/>
    <w:multiLevelType w:val="hybridMultilevel"/>
    <w:tmpl w:val="F20ECB0A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AA6B95"/>
    <w:multiLevelType w:val="hybridMultilevel"/>
    <w:tmpl w:val="8206AED4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CA3C53"/>
    <w:multiLevelType w:val="hybridMultilevel"/>
    <w:tmpl w:val="E56059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7"/>
  </w:num>
  <w:num w:numId="4">
    <w:abstractNumId w:val="13"/>
  </w:num>
  <w:num w:numId="5">
    <w:abstractNumId w:val="5"/>
  </w:num>
  <w:num w:numId="6">
    <w:abstractNumId w:val="11"/>
  </w:num>
  <w:num w:numId="7">
    <w:abstractNumId w:val="15"/>
  </w:num>
  <w:num w:numId="8">
    <w:abstractNumId w:val="8"/>
  </w:num>
  <w:num w:numId="9">
    <w:abstractNumId w:val="2"/>
  </w:num>
  <w:num w:numId="10">
    <w:abstractNumId w:val="14"/>
  </w:num>
  <w:num w:numId="11">
    <w:abstractNumId w:val="1"/>
  </w:num>
  <w:num w:numId="12">
    <w:abstractNumId w:val="0"/>
  </w:num>
  <w:num w:numId="13">
    <w:abstractNumId w:val="12"/>
  </w:num>
  <w:num w:numId="14">
    <w:abstractNumId w:val="16"/>
  </w:num>
  <w:num w:numId="15">
    <w:abstractNumId w:val="18"/>
  </w:num>
  <w:num w:numId="16">
    <w:abstractNumId w:val="3"/>
  </w:num>
  <w:num w:numId="17">
    <w:abstractNumId w:val="17"/>
  </w:num>
  <w:num w:numId="18">
    <w:abstractNumId w:val="6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FA1"/>
    <w:rsid w:val="000112DD"/>
    <w:rsid w:val="000154E9"/>
    <w:rsid w:val="000455B8"/>
    <w:rsid w:val="00066DE6"/>
    <w:rsid w:val="00084070"/>
    <w:rsid w:val="0008584C"/>
    <w:rsid w:val="000A48E9"/>
    <w:rsid w:val="000D3F66"/>
    <w:rsid w:val="00100A60"/>
    <w:rsid w:val="00106A94"/>
    <w:rsid w:val="001218B0"/>
    <w:rsid w:val="00125359"/>
    <w:rsid w:val="001257B4"/>
    <w:rsid w:val="00135181"/>
    <w:rsid w:val="0016685B"/>
    <w:rsid w:val="00171891"/>
    <w:rsid w:val="00194BC3"/>
    <w:rsid w:val="001A7A51"/>
    <w:rsid w:val="001B0AC0"/>
    <w:rsid w:val="001B1B5C"/>
    <w:rsid w:val="001C7E3F"/>
    <w:rsid w:val="001D2DFC"/>
    <w:rsid w:val="001E3CE0"/>
    <w:rsid w:val="00205083"/>
    <w:rsid w:val="00233EA1"/>
    <w:rsid w:val="002377DD"/>
    <w:rsid w:val="002409D4"/>
    <w:rsid w:val="00266267"/>
    <w:rsid w:val="002A4A35"/>
    <w:rsid w:val="002B3637"/>
    <w:rsid w:val="002B4641"/>
    <w:rsid w:val="002D0ADE"/>
    <w:rsid w:val="002D0B84"/>
    <w:rsid w:val="002E42D7"/>
    <w:rsid w:val="002E68D4"/>
    <w:rsid w:val="002F4345"/>
    <w:rsid w:val="002F76FC"/>
    <w:rsid w:val="00312C8B"/>
    <w:rsid w:val="00322BAA"/>
    <w:rsid w:val="0032363C"/>
    <w:rsid w:val="003272A3"/>
    <w:rsid w:val="00333C96"/>
    <w:rsid w:val="00353A85"/>
    <w:rsid w:val="003551B9"/>
    <w:rsid w:val="00397DCD"/>
    <w:rsid w:val="003B40C2"/>
    <w:rsid w:val="003B6822"/>
    <w:rsid w:val="003D1FA1"/>
    <w:rsid w:val="00414002"/>
    <w:rsid w:val="00414207"/>
    <w:rsid w:val="00417634"/>
    <w:rsid w:val="0042596B"/>
    <w:rsid w:val="00427EA5"/>
    <w:rsid w:val="0044729A"/>
    <w:rsid w:val="00451030"/>
    <w:rsid w:val="004613C7"/>
    <w:rsid w:val="004618F8"/>
    <w:rsid w:val="004A3CE8"/>
    <w:rsid w:val="004A5444"/>
    <w:rsid w:val="004B4690"/>
    <w:rsid w:val="004C180A"/>
    <w:rsid w:val="004C6C2F"/>
    <w:rsid w:val="004D55D0"/>
    <w:rsid w:val="004E25C3"/>
    <w:rsid w:val="004E3E5B"/>
    <w:rsid w:val="00514541"/>
    <w:rsid w:val="00565334"/>
    <w:rsid w:val="0059196F"/>
    <w:rsid w:val="005F6FB9"/>
    <w:rsid w:val="00603CBB"/>
    <w:rsid w:val="006208BD"/>
    <w:rsid w:val="00624A2C"/>
    <w:rsid w:val="00655ECE"/>
    <w:rsid w:val="006A3D79"/>
    <w:rsid w:val="006A79B7"/>
    <w:rsid w:val="006A7CFF"/>
    <w:rsid w:val="006C2EDE"/>
    <w:rsid w:val="006E6ACB"/>
    <w:rsid w:val="006F02F2"/>
    <w:rsid w:val="006F41A5"/>
    <w:rsid w:val="007114CD"/>
    <w:rsid w:val="00713A0C"/>
    <w:rsid w:val="0072058E"/>
    <w:rsid w:val="00730A88"/>
    <w:rsid w:val="0075172E"/>
    <w:rsid w:val="00760DB5"/>
    <w:rsid w:val="007673CD"/>
    <w:rsid w:val="00775E8C"/>
    <w:rsid w:val="00776ECE"/>
    <w:rsid w:val="0079364F"/>
    <w:rsid w:val="007A534A"/>
    <w:rsid w:val="007B2312"/>
    <w:rsid w:val="007E03D5"/>
    <w:rsid w:val="007E5992"/>
    <w:rsid w:val="007F0F9F"/>
    <w:rsid w:val="007F6941"/>
    <w:rsid w:val="0080669A"/>
    <w:rsid w:val="00823BCD"/>
    <w:rsid w:val="0084493A"/>
    <w:rsid w:val="00851131"/>
    <w:rsid w:val="00854D6A"/>
    <w:rsid w:val="00870154"/>
    <w:rsid w:val="00870557"/>
    <w:rsid w:val="0087622F"/>
    <w:rsid w:val="008768B2"/>
    <w:rsid w:val="00894DA2"/>
    <w:rsid w:val="008E1408"/>
    <w:rsid w:val="008E1BE5"/>
    <w:rsid w:val="008F18B8"/>
    <w:rsid w:val="0092240B"/>
    <w:rsid w:val="00935966"/>
    <w:rsid w:val="009401FF"/>
    <w:rsid w:val="009442AE"/>
    <w:rsid w:val="009555AA"/>
    <w:rsid w:val="00956B7A"/>
    <w:rsid w:val="009A75BB"/>
    <w:rsid w:val="009B0128"/>
    <w:rsid w:val="009D259F"/>
    <w:rsid w:val="009E255E"/>
    <w:rsid w:val="009E7D16"/>
    <w:rsid w:val="009F39C9"/>
    <w:rsid w:val="00A01215"/>
    <w:rsid w:val="00A10014"/>
    <w:rsid w:val="00A31807"/>
    <w:rsid w:val="00A84DC6"/>
    <w:rsid w:val="00AF4FD5"/>
    <w:rsid w:val="00AF6217"/>
    <w:rsid w:val="00B54483"/>
    <w:rsid w:val="00B83420"/>
    <w:rsid w:val="00B90E4A"/>
    <w:rsid w:val="00BB0A8C"/>
    <w:rsid w:val="00BD4E50"/>
    <w:rsid w:val="00BE2458"/>
    <w:rsid w:val="00BE3142"/>
    <w:rsid w:val="00BE35BB"/>
    <w:rsid w:val="00C06AFB"/>
    <w:rsid w:val="00C16328"/>
    <w:rsid w:val="00C509EA"/>
    <w:rsid w:val="00C54129"/>
    <w:rsid w:val="00C54F7C"/>
    <w:rsid w:val="00C74A35"/>
    <w:rsid w:val="00C75F27"/>
    <w:rsid w:val="00CA4ED1"/>
    <w:rsid w:val="00CC1B22"/>
    <w:rsid w:val="00CC5C04"/>
    <w:rsid w:val="00CF4CAF"/>
    <w:rsid w:val="00CF7A85"/>
    <w:rsid w:val="00D046DE"/>
    <w:rsid w:val="00D07EB8"/>
    <w:rsid w:val="00D13947"/>
    <w:rsid w:val="00D273B8"/>
    <w:rsid w:val="00D4440E"/>
    <w:rsid w:val="00D461F3"/>
    <w:rsid w:val="00D64969"/>
    <w:rsid w:val="00D724DE"/>
    <w:rsid w:val="00D827C9"/>
    <w:rsid w:val="00D83E8C"/>
    <w:rsid w:val="00D85630"/>
    <w:rsid w:val="00DD182F"/>
    <w:rsid w:val="00DE2DCC"/>
    <w:rsid w:val="00DE582D"/>
    <w:rsid w:val="00DF0554"/>
    <w:rsid w:val="00DF2004"/>
    <w:rsid w:val="00E040EE"/>
    <w:rsid w:val="00E04C27"/>
    <w:rsid w:val="00E1344E"/>
    <w:rsid w:val="00E2003E"/>
    <w:rsid w:val="00E87ABF"/>
    <w:rsid w:val="00E971D2"/>
    <w:rsid w:val="00ED10DF"/>
    <w:rsid w:val="00EE4246"/>
    <w:rsid w:val="00EE53F7"/>
    <w:rsid w:val="00EE5886"/>
    <w:rsid w:val="00F3215F"/>
    <w:rsid w:val="00F40EFB"/>
    <w:rsid w:val="00F43460"/>
    <w:rsid w:val="00F671E9"/>
    <w:rsid w:val="00F87486"/>
    <w:rsid w:val="00F948BE"/>
    <w:rsid w:val="00FE17A1"/>
    <w:rsid w:val="00FF4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92626D"/>
  <w15:chartTrackingRefBased/>
  <w15:docId w15:val="{9721F7DF-1269-4674-9D88-2164F48E0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bs-Latn-BA"/>
    </w:rPr>
  </w:style>
  <w:style w:type="paragraph" w:styleId="Heading1">
    <w:name w:val="heading 1"/>
    <w:basedOn w:val="Normal"/>
    <w:next w:val="Normal"/>
    <w:link w:val="Heading1Char"/>
    <w:uiPriority w:val="9"/>
    <w:qFormat/>
    <w:rsid w:val="006208BD"/>
    <w:pPr>
      <w:spacing w:line="276" w:lineRule="auto"/>
      <w:jc w:val="both"/>
      <w:outlineLvl w:val="0"/>
    </w:pPr>
    <w:rPr>
      <w:rFonts w:ascii="Arial" w:hAnsi="Arial" w:cs="Arial"/>
      <w:b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08BD"/>
    <w:pPr>
      <w:spacing w:line="276" w:lineRule="auto"/>
      <w:jc w:val="both"/>
      <w:outlineLvl w:val="1"/>
    </w:pPr>
    <w:rPr>
      <w:rFonts w:ascii="Arial" w:hAnsi="Arial" w:cs="Arial"/>
      <w:b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2596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208BD"/>
    <w:rPr>
      <w:rFonts w:ascii="Arial" w:hAnsi="Arial" w:cs="Arial"/>
      <w:b/>
      <w:sz w:val="24"/>
      <w:szCs w:val="24"/>
      <w:lang w:val="bs-Latn-BA"/>
    </w:rPr>
  </w:style>
  <w:style w:type="paragraph" w:styleId="TOCHeading">
    <w:name w:val="TOC Heading"/>
    <w:basedOn w:val="Heading1"/>
    <w:next w:val="Normal"/>
    <w:uiPriority w:val="39"/>
    <w:unhideWhenUsed/>
    <w:qFormat/>
    <w:rsid w:val="003D1FA1"/>
    <w:pPr>
      <w:outlineLvl w:val="9"/>
    </w:pPr>
    <w:rPr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3D1FA1"/>
    <w:pPr>
      <w:spacing w:after="100"/>
      <w:ind w:left="220"/>
    </w:pPr>
    <w:rPr>
      <w:rFonts w:eastAsiaTheme="minorEastAsia" w:cs="Times New Roman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9A75BB"/>
    <w:pPr>
      <w:tabs>
        <w:tab w:val="right" w:leader="dot" w:pos="9350"/>
      </w:tabs>
      <w:spacing w:after="100" w:line="276" w:lineRule="auto"/>
      <w:jc w:val="both"/>
    </w:pPr>
    <w:rPr>
      <w:rFonts w:ascii="Arial" w:eastAsiaTheme="minorEastAsia" w:hAnsi="Arial" w:cs="Arial"/>
      <w:noProof/>
      <w:color w:val="000000" w:themeColor="text1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3D1FA1"/>
    <w:pPr>
      <w:spacing w:after="100"/>
      <w:ind w:left="440"/>
    </w:pPr>
    <w:rPr>
      <w:rFonts w:eastAsiaTheme="minorEastAsia" w:cs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C06AF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74A35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74A3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00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014"/>
    <w:rPr>
      <w:rFonts w:ascii="Segoe UI" w:hAnsi="Segoe UI" w:cs="Segoe UI"/>
      <w:sz w:val="18"/>
      <w:szCs w:val="18"/>
      <w:lang w:val="bs-Latn-BA"/>
    </w:rPr>
  </w:style>
  <w:style w:type="character" w:customStyle="1" w:styleId="CharStyle3">
    <w:name w:val="Char Style 3"/>
    <w:basedOn w:val="DefaultParagraphFont"/>
    <w:link w:val="Style2"/>
    <w:rsid w:val="00106A94"/>
    <w:rPr>
      <w:sz w:val="20"/>
      <w:szCs w:val="20"/>
    </w:rPr>
  </w:style>
  <w:style w:type="paragraph" w:customStyle="1" w:styleId="Style2">
    <w:name w:val="Style 2"/>
    <w:basedOn w:val="Normal"/>
    <w:link w:val="CharStyle3"/>
    <w:rsid w:val="00106A94"/>
    <w:pPr>
      <w:widowControl w:val="0"/>
      <w:spacing w:after="220" w:line="240" w:lineRule="auto"/>
    </w:pPr>
    <w:rPr>
      <w:sz w:val="20"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B0A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0A8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0A8C"/>
    <w:rPr>
      <w:sz w:val="20"/>
      <w:szCs w:val="20"/>
      <w:lang w:val="bs-Latn-B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0A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0A8C"/>
    <w:rPr>
      <w:b/>
      <w:bCs/>
      <w:sz w:val="20"/>
      <w:szCs w:val="20"/>
      <w:lang w:val="bs-Latn-BA"/>
    </w:rPr>
  </w:style>
  <w:style w:type="paragraph" w:customStyle="1" w:styleId="questionsquestion">
    <w:name w:val="questions__question"/>
    <w:basedOn w:val="Normal"/>
    <w:rsid w:val="004259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questionsanswer">
    <w:name w:val="questions__answer"/>
    <w:basedOn w:val="Normal"/>
    <w:rsid w:val="004259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6208BD"/>
    <w:rPr>
      <w:rFonts w:ascii="Arial" w:hAnsi="Arial" w:cs="Arial"/>
      <w:b/>
      <w:sz w:val="24"/>
      <w:szCs w:val="24"/>
      <w:lang w:val="bs-Latn-BA"/>
    </w:rPr>
  </w:style>
  <w:style w:type="character" w:customStyle="1" w:styleId="Heading3Char">
    <w:name w:val="Heading 3 Char"/>
    <w:basedOn w:val="DefaultParagraphFont"/>
    <w:link w:val="Heading3"/>
    <w:uiPriority w:val="9"/>
    <w:rsid w:val="0042596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bs-Latn-BA"/>
    </w:rPr>
  </w:style>
  <w:style w:type="table" w:styleId="TableGrid">
    <w:name w:val="Table Grid"/>
    <w:basedOn w:val="TableNormal"/>
    <w:uiPriority w:val="39"/>
    <w:rsid w:val="009224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D83E8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83E8C"/>
    <w:rPr>
      <w:sz w:val="20"/>
      <w:szCs w:val="20"/>
      <w:lang w:val="bs-Latn-BA"/>
    </w:rPr>
  </w:style>
  <w:style w:type="character" w:styleId="FootnoteReference">
    <w:name w:val="footnote reference"/>
    <w:basedOn w:val="DefaultParagraphFont"/>
    <w:uiPriority w:val="99"/>
    <w:semiHidden/>
    <w:unhideWhenUsed/>
    <w:rsid w:val="00D83E8C"/>
    <w:rPr>
      <w:vertAlign w:val="superscript"/>
    </w:rPr>
  </w:style>
  <w:style w:type="paragraph" w:styleId="Revision">
    <w:name w:val="Revision"/>
    <w:hidden/>
    <w:uiPriority w:val="99"/>
    <w:semiHidden/>
    <w:rsid w:val="00D046DE"/>
    <w:pPr>
      <w:spacing w:after="0" w:line="240" w:lineRule="auto"/>
    </w:pPr>
    <w:rPr>
      <w:lang w:val="bs-Latn-BA"/>
    </w:rPr>
  </w:style>
  <w:style w:type="paragraph" w:styleId="Header">
    <w:name w:val="header"/>
    <w:basedOn w:val="Normal"/>
    <w:link w:val="HeaderChar"/>
    <w:uiPriority w:val="99"/>
    <w:unhideWhenUsed/>
    <w:rsid w:val="006A7C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7CFF"/>
    <w:rPr>
      <w:lang w:val="bs-Latn-BA"/>
    </w:rPr>
  </w:style>
  <w:style w:type="paragraph" w:styleId="Footer">
    <w:name w:val="footer"/>
    <w:basedOn w:val="Normal"/>
    <w:link w:val="FooterChar"/>
    <w:uiPriority w:val="99"/>
    <w:unhideWhenUsed/>
    <w:rsid w:val="006A7C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7CFF"/>
    <w:rPr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71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3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148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338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100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816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120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343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34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26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03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00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26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45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analitika.ba/sites/default/files/publikacije/Transparentnost%20pravosudnih%20institucija%20-%20osvrt.pdf" TargetMode="External"/><Relationship Id="rId1" Type="http://schemas.openxmlformats.org/officeDocument/2006/relationships/hyperlink" Target="https://indekspravosudja.b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C3BA76-191A-4471-BEC8-82BD82DD2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4610</Words>
  <Characters>26278</Characters>
  <Application>Microsoft Office Word</Application>
  <DocSecurity>0</DocSecurity>
  <Lines>218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Lejla Karovic</dc:creator>
  <cp:keywords/>
  <dc:description/>
  <cp:lastModifiedBy>Elma Corbadzic</cp:lastModifiedBy>
  <cp:revision>3</cp:revision>
  <cp:lastPrinted>2023-12-29T08:02:00Z</cp:lastPrinted>
  <dcterms:created xsi:type="dcterms:W3CDTF">2023-12-29T08:01:00Z</dcterms:created>
  <dcterms:modified xsi:type="dcterms:W3CDTF">2023-12-29T08:28:00Z</dcterms:modified>
</cp:coreProperties>
</file>